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C592" w14:textId="298553AF" w:rsidR="00EB56E7" w:rsidRDefault="00772974" w:rsidP="006B1B59">
      <w:pPr>
        <w:pStyle w:val="Title"/>
      </w:pPr>
      <w:r>
        <w:t>Sierra ERM</w:t>
      </w:r>
    </w:p>
    <w:p w14:paraId="5FB822A5" w14:textId="692AF647" w:rsidR="000634D9" w:rsidRDefault="00772974" w:rsidP="00772974">
      <w:pPr>
        <w:jc w:val="center"/>
      </w:pPr>
      <w:r w:rsidRPr="00772974">
        <w:rPr>
          <w:rFonts w:ascii="Georgia" w:eastAsiaTheme="majorEastAsia" w:hAnsi="Georgia" w:cstheme="majorBidi"/>
          <w:b/>
          <w:color w:val="D54120"/>
          <w:sz w:val="40"/>
          <w:szCs w:val="32"/>
        </w:rPr>
        <w:t>Enhanced Tickler Notifications</w:t>
      </w:r>
      <w:r w:rsidR="000634D9">
        <w:rPr>
          <w:noProof/>
          <w:lang w:bidi="he-IL"/>
        </w:rPr>
        <mc:AlternateContent>
          <mc:Choice Requires="wps">
            <w:drawing>
              <wp:inline distT="0" distB="0" distL="0" distR="0" wp14:anchorId="2B83DC67" wp14:editId="7CAB2991">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6165E7"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p>
    <w:p w14:paraId="3616059C" w14:textId="77777777" w:rsidR="000634D9" w:rsidRDefault="000634D9" w:rsidP="000634D9"/>
    <w:p w14:paraId="24928ECC" w14:textId="77777777" w:rsidR="00772974" w:rsidRDefault="00772974" w:rsidP="00171A64">
      <w:pPr>
        <w:rPr>
          <w:rFonts w:ascii="Georgia" w:eastAsiaTheme="majorEastAsia" w:hAnsi="Georgia" w:cstheme="majorBidi"/>
          <w:b/>
          <w:sz w:val="28"/>
          <w:szCs w:val="26"/>
        </w:rPr>
      </w:pPr>
      <w:r w:rsidRPr="00772974">
        <w:rPr>
          <w:rFonts w:ascii="Georgia" w:eastAsiaTheme="majorEastAsia" w:hAnsi="Georgia" w:cstheme="majorBidi"/>
          <w:b/>
          <w:sz w:val="28"/>
          <w:szCs w:val="26"/>
        </w:rPr>
        <w:t>Enhanced Tickler Notifications</w:t>
      </w:r>
    </w:p>
    <w:p w14:paraId="3C15FEB0" w14:textId="701527B5" w:rsidR="00772974" w:rsidRDefault="00772974" w:rsidP="00772974">
      <w:r>
        <w:t>Your library's staff can add a Resource or License fixed-length field and its value as optional elements to a Tickler rule.</w:t>
      </w:r>
    </w:p>
    <w:p w14:paraId="32D88A6B" w14:textId="77777777" w:rsidR="00772974" w:rsidRDefault="00772974" w:rsidP="00772974"/>
    <w:p w14:paraId="508A292A" w14:textId="497D0E51" w:rsidR="00772974" w:rsidRDefault="00772974" w:rsidP="00772974">
      <w:r w:rsidRPr="00772974">
        <w:t>Example: Send email 30 days before Contract End Date only if a license indicates that it is not set up for automatic renewal</w:t>
      </w:r>
    </w:p>
    <w:p w14:paraId="5D9B1E47" w14:textId="77777777" w:rsidR="00772974" w:rsidRDefault="00772974" w:rsidP="00772974"/>
    <w:p w14:paraId="233E7C57" w14:textId="75F41405" w:rsidR="00772974" w:rsidRDefault="00772974" w:rsidP="00772974">
      <w:r>
        <w:rPr>
          <w:noProof/>
          <w:lang w:bidi="he-IL"/>
        </w:rPr>
        <w:drawing>
          <wp:inline distT="0" distB="0" distL="0" distR="0" wp14:anchorId="2FB0F915" wp14:editId="61C77BC2">
            <wp:extent cx="5943600" cy="4151630"/>
            <wp:effectExtent l="0" t="0" r="0" b="1270"/>
            <wp:docPr id="4" name="Picture 4" descr="Example entry for ERM Tickler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entry for ERM Tickler rule"/>
                    <pic:cNvPicPr/>
                  </pic:nvPicPr>
                  <pic:blipFill>
                    <a:blip r:embed="rId10">
                      <a:extLst>
                        <a:ext uri="{28A0092B-C50C-407E-A947-70E740481C1C}">
                          <a14:useLocalDpi xmlns:a14="http://schemas.microsoft.com/office/drawing/2010/main" val="0"/>
                        </a:ext>
                      </a:extLst>
                    </a:blip>
                    <a:stretch>
                      <a:fillRect/>
                    </a:stretch>
                  </pic:blipFill>
                  <pic:spPr>
                    <a:xfrm>
                      <a:off x="0" y="0"/>
                      <a:ext cx="5943600" cy="4151630"/>
                    </a:xfrm>
                    <a:prstGeom prst="rect">
                      <a:avLst/>
                    </a:prstGeom>
                  </pic:spPr>
                </pic:pic>
              </a:graphicData>
            </a:graphic>
          </wp:inline>
        </w:drawing>
      </w:r>
    </w:p>
    <w:p w14:paraId="1B90C893" w14:textId="77C1F967" w:rsidR="00772974" w:rsidRDefault="00772974" w:rsidP="00772974"/>
    <w:p w14:paraId="6789D2DC" w14:textId="2D6B383C" w:rsidR="004E2F32" w:rsidRDefault="004E2F32" w:rsidP="00772974"/>
    <w:p w14:paraId="0559285F" w14:textId="486E7E6E" w:rsidR="004E2F32" w:rsidRDefault="004E2F32" w:rsidP="00772974"/>
    <w:p w14:paraId="51F52B76" w14:textId="45911E1E" w:rsidR="004E2F32" w:rsidRDefault="004E2F32" w:rsidP="00772974"/>
    <w:p w14:paraId="6B3D2CFA" w14:textId="24F368FC" w:rsidR="004E2F32" w:rsidRDefault="004E2F32" w:rsidP="00772974"/>
    <w:p w14:paraId="290F5042" w14:textId="77777777" w:rsidR="004E2F32" w:rsidRDefault="004E2F32" w:rsidP="00772974"/>
    <w:p w14:paraId="57032634" w14:textId="3ED20A0C" w:rsidR="00772974" w:rsidRPr="004E2F32" w:rsidRDefault="00772974" w:rsidP="004E2F32">
      <w:pPr>
        <w:jc w:val="center"/>
        <w:rPr>
          <w:b/>
          <w:bCs/>
        </w:rPr>
      </w:pPr>
      <w:r w:rsidRPr="004E2F32">
        <w:rPr>
          <w:b/>
          <w:bCs/>
        </w:rPr>
        <w:lastRenderedPageBreak/>
        <w:t>Use Cases</w:t>
      </w:r>
    </w:p>
    <w:tbl>
      <w:tblPr>
        <w:tblStyle w:val="TableGrid"/>
        <w:tblW w:w="0" w:type="auto"/>
        <w:tblInd w:w="432" w:type="dxa"/>
        <w:tblLook w:val="04A0" w:firstRow="1" w:lastRow="0" w:firstColumn="1" w:lastColumn="0" w:noHBand="0" w:noVBand="1"/>
        <w:tblCaption w:val="ERM Tickler use cases"/>
      </w:tblPr>
      <w:tblGrid>
        <w:gridCol w:w="2958"/>
        <w:gridCol w:w="1105"/>
        <w:gridCol w:w="1547"/>
        <w:gridCol w:w="1645"/>
        <w:gridCol w:w="1663"/>
      </w:tblGrid>
      <w:tr w:rsidR="00E224DF" w14:paraId="2181894D" w14:textId="77777777" w:rsidTr="00E224DF">
        <w:tc>
          <w:tcPr>
            <w:tcW w:w="2958" w:type="dxa"/>
            <w:shd w:val="clear" w:color="auto" w:fill="FAA21B"/>
          </w:tcPr>
          <w:p w14:paraId="17C1307E" w14:textId="70DC9D65" w:rsidR="00772974" w:rsidRPr="004E2F32" w:rsidRDefault="004E2F32" w:rsidP="00E224DF">
            <w:pPr>
              <w:ind w:left="0"/>
              <w:jc w:val="center"/>
              <w:rPr>
                <w:b/>
                <w:bCs/>
              </w:rPr>
            </w:pPr>
            <w:r>
              <w:rPr>
                <w:b/>
                <w:bCs/>
              </w:rPr>
              <w:t>USE CASE</w:t>
            </w:r>
          </w:p>
        </w:tc>
        <w:tc>
          <w:tcPr>
            <w:tcW w:w="1105" w:type="dxa"/>
            <w:shd w:val="clear" w:color="auto" w:fill="FAA21B"/>
          </w:tcPr>
          <w:p w14:paraId="696E107C" w14:textId="091909CB" w:rsidR="00772974" w:rsidRPr="004E2F32" w:rsidRDefault="004E2F32" w:rsidP="00E224DF">
            <w:pPr>
              <w:ind w:left="0"/>
              <w:jc w:val="center"/>
              <w:rPr>
                <w:b/>
                <w:bCs/>
              </w:rPr>
            </w:pPr>
            <w:r>
              <w:rPr>
                <w:b/>
                <w:bCs/>
              </w:rPr>
              <w:t>WARN WHEN WITHIN DAYS</w:t>
            </w:r>
          </w:p>
        </w:tc>
        <w:tc>
          <w:tcPr>
            <w:tcW w:w="1547" w:type="dxa"/>
            <w:shd w:val="clear" w:color="auto" w:fill="FAA21B"/>
          </w:tcPr>
          <w:p w14:paraId="3E7B6686" w14:textId="49B140D3" w:rsidR="00772974" w:rsidRPr="004E2F32" w:rsidRDefault="004E2F32" w:rsidP="00E224DF">
            <w:pPr>
              <w:ind w:left="0"/>
              <w:jc w:val="center"/>
              <w:rPr>
                <w:b/>
                <w:bCs/>
              </w:rPr>
            </w:pPr>
            <w:r>
              <w:rPr>
                <w:b/>
                <w:bCs/>
              </w:rPr>
              <w:t>DATE FIELD</w:t>
            </w:r>
          </w:p>
        </w:tc>
        <w:tc>
          <w:tcPr>
            <w:tcW w:w="1645" w:type="dxa"/>
            <w:shd w:val="clear" w:color="auto" w:fill="FAA21B"/>
          </w:tcPr>
          <w:p w14:paraId="1F18F7BA" w14:textId="5215781C" w:rsidR="00772974" w:rsidRPr="004E2F32" w:rsidRDefault="004E2F32" w:rsidP="00E224DF">
            <w:pPr>
              <w:ind w:left="0"/>
              <w:jc w:val="center"/>
              <w:rPr>
                <w:b/>
                <w:bCs/>
              </w:rPr>
            </w:pPr>
            <w:r>
              <w:rPr>
                <w:b/>
                <w:bCs/>
              </w:rPr>
              <w:t>OTHER FIELD</w:t>
            </w:r>
          </w:p>
        </w:tc>
        <w:tc>
          <w:tcPr>
            <w:tcW w:w="1663" w:type="dxa"/>
            <w:shd w:val="clear" w:color="auto" w:fill="FAA21B"/>
          </w:tcPr>
          <w:p w14:paraId="1BE45445" w14:textId="0645703E" w:rsidR="00772974" w:rsidRPr="004E2F32" w:rsidRDefault="004E2F32" w:rsidP="00E224DF">
            <w:pPr>
              <w:ind w:left="0"/>
              <w:jc w:val="center"/>
              <w:rPr>
                <w:b/>
                <w:bCs/>
              </w:rPr>
            </w:pPr>
            <w:r>
              <w:rPr>
                <w:b/>
                <w:bCs/>
              </w:rPr>
              <w:t>OTHER FIELD VALUES</w:t>
            </w:r>
          </w:p>
        </w:tc>
      </w:tr>
      <w:tr w:rsidR="00772974" w14:paraId="7F0F4728" w14:textId="77777777" w:rsidTr="00E224DF">
        <w:tc>
          <w:tcPr>
            <w:tcW w:w="2958" w:type="dxa"/>
          </w:tcPr>
          <w:p w14:paraId="017D053A" w14:textId="077624D4" w:rsidR="00772974" w:rsidRPr="004E2F32" w:rsidRDefault="00772974" w:rsidP="00E224DF">
            <w:pPr>
              <w:ind w:left="0"/>
              <w:rPr>
                <w:b/>
                <w:bCs/>
              </w:rPr>
            </w:pPr>
            <w:r w:rsidRPr="004E2F32">
              <w:rPr>
                <w:b/>
                <w:bCs/>
              </w:rPr>
              <w:t>Send email 30 days before Contract End Date only if a license indicates that it is not set up for automatic renewal</w:t>
            </w:r>
          </w:p>
        </w:tc>
        <w:tc>
          <w:tcPr>
            <w:tcW w:w="1105" w:type="dxa"/>
          </w:tcPr>
          <w:p w14:paraId="343E22AA" w14:textId="7AD2CED8" w:rsidR="00772974" w:rsidRPr="004E2F32" w:rsidRDefault="00772974" w:rsidP="00E224DF">
            <w:pPr>
              <w:ind w:left="0"/>
              <w:rPr>
                <w:b/>
                <w:bCs/>
              </w:rPr>
            </w:pPr>
            <w:r w:rsidRPr="004E2F32">
              <w:rPr>
                <w:b/>
                <w:bCs/>
              </w:rPr>
              <w:t>- 30</w:t>
            </w:r>
          </w:p>
        </w:tc>
        <w:tc>
          <w:tcPr>
            <w:tcW w:w="1547" w:type="dxa"/>
          </w:tcPr>
          <w:p w14:paraId="4EC4AE1F" w14:textId="5208B83A" w:rsidR="00772974" w:rsidRPr="004E2F32" w:rsidRDefault="00772974" w:rsidP="00E224DF">
            <w:pPr>
              <w:ind w:left="0"/>
              <w:rPr>
                <w:b/>
                <w:bCs/>
              </w:rPr>
            </w:pPr>
            <w:r w:rsidRPr="004E2F32">
              <w:rPr>
                <w:b/>
                <w:bCs/>
              </w:rPr>
              <w:t>Contract</w:t>
            </w:r>
            <w:r w:rsidR="00E224DF">
              <w:rPr>
                <w:b/>
                <w:bCs/>
              </w:rPr>
              <w:t xml:space="preserve"> </w:t>
            </w:r>
            <w:r w:rsidRPr="004E2F32">
              <w:rPr>
                <w:b/>
                <w:bCs/>
              </w:rPr>
              <w:t>End Date</w:t>
            </w:r>
          </w:p>
        </w:tc>
        <w:tc>
          <w:tcPr>
            <w:tcW w:w="1645" w:type="dxa"/>
          </w:tcPr>
          <w:p w14:paraId="6A58C2D9" w14:textId="59A7E14B" w:rsidR="00772974" w:rsidRPr="004E2F32" w:rsidRDefault="00772974" w:rsidP="00E224DF">
            <w:pPr>
              <w:ind w:left="0"/>
              <w:rPr>
                <w:b/>
                <w:bCs/>
              </w:rPr>
            </w:pPr>
            <w:r w:rsidRPr="004E2F32">
              <w:rPr>
                <w:b/>
                <w:bCs/>
              </w:rPr>
              <w:t>Auto Renew</w:t>
            </w:r>
          </w:p>
        </w:tc>
        <w:tc>
          <w:tcPr>
            <w:tcW w:w="1663" w:type="dxa"/>
          </w:tcPr>
          <w:p w14:paraId="6A37F06C" w14:textId="2814446C" w:rsidR="00772974" w:rsidRPr="004E2F32" w:rsidRDefault="00772974" w:rsidP="00E224DF">
            <w:pPr>
              <w:ind w:left="0"/>
              <w:rPr>
                <w:b/>
                <w:bCs/>
              </w:rPr>
            </w:pPr>
            <w:r w:rsidRPr="004E2F32">
              <w:rPr>
                <w:b/>
                <w:bCs/>
              </w:rPr>
              <w:t>n (No)</w:t>
            </w:r>
          </w:p>
        </w:tc>
      </w:tr>
      <w:tr w:rsidR="00772974" w14:paraId="2E0CD6E1" w14:textId="77777777" w:rsidTr="00E224DF">
        <w:tc>
          <w:tcPr>
            <w:tcW w:w="2958" w:type="dxa"/>
          </w:tcPr>
          <w:p w14:paraId="0829C744" w14:textId="26B5D608" w:rsidR="00772974" w:rsidRPr="004E2F32" w:rsidRDefault="00772974" w:rsidP="00E224DF">
            <w:pPr>
              <w:ind w:left="0"/>
              <w:rPr>
                <w:b/>
                <w:bCs/>
              </w:rPr>
            </w:pPr>
            <w:r w:rsidRPr="004E2F32">
              <w:rPr>
                <w:b/>
                <w:bCs/>
              </w:rPr>
              <w:t xml:space="preserve">Send email 1 day after the Registration Date only if a resource indicates its display is still suppressed in </w:t>
            </w:r>
            <w:proofErr w:type="spellStart"/>
            <w:r w:rsidRPr="004E2F32">
              <w:rPr>
                <w:b/>
                <w:bCs/>
              </w:rPr>
              <w:t>WebPAC</w:t>
            </w:r>
            <w:proofErr w:type="spellEnd"/>
            <w:r w:rsidRPr="004E2F32">
              <w:rPr>
                <w:b/>
                <w:bCs/>
              </w:rPr>
              <w:t xml:space="preserve"> Pro/Encore</w:t>
            </w:r>
          </w:p>
        </w:tc>
        <w:tc>
          <w:tcPr>
            <w:tcW w:w="1105" w:type="dxa"/>
          </w:tcPr>
          <w:p w14:paraId="45CE2763" w14:textId="28E0C594" w:rsidR="00772974" w:rsidRPr="004E2F32" w:rsidRDefault="00772974" w:rsidP="00E224DF">
            <w:pPr>
              <w:ind w:left="0"/>
              <w:rPr>
                <w:b/>
                <w:bCs/>
              </w:rPr>
            </w:pPr>
            <w:r w:rsidRPr="004E2F32">
              <w:rPr>
                <w:b/>
                <w:bCs/>
              </w:rPr>
              <w:t>1</w:t>
            </w:r>
          </w:p>
        </w:tc>
        <w:tc>
          <w:tcPr>
            <w:tcW w:w="1547" w:type="dxa"/>
          </w:tcPr>
          <w:p w14:paraId="10C9D6D6" w14:textId="61711EE6" w:rsidR="00772974" w:rsidRPr="004E2F32" w:rsidRDefault="00772974" w:rsidP="00E224DF">
            <w:pPr>
              <w:ind w:left="0"/>
              <w:rPr>
                <w:b/>
                <w:bCs/>
              </w:rPr>
            </w:pPr>
            <w:r w:rsidRPr="004E2F32">
              <w:rPr>
                <w:b/>
                <w:bCs/>
              </w:rPr>
              <w:t>Registration Date</w:t>
            </w:r>
          </w:p>
        </w:tc>
        <w:tc>
          <w:tcPr>
            <w:tcW w:w="1645" w:type="dxa"/>
          </w:tcPr>
          <w:p w14:paraId="2A43895D" w14:textId="32E35FFE" w:rsidR="00772974" w:rsidRPr="004E2F32" w:rsidRDefault="00772974" w:rsidP="00E224DF">
            <w:pPr>
              <w:ind w:left="0"/>
              <w:rPr>
                <w:b/>
                <w:bCs/>
              </w:rPr>
            </w:pPr>
            <w:r w:rsidRPr="004E2F32">
              <w:rPr>
                <w:b/>
                <w:bCs/>
              </w:rPr>
              <w:t>Suppress</w:t>
            </w:r>
          </w:p>
        </w:tc>
        <w:tc>
          <w:tcPr>
            <w:tcW w:w="1663" w:type="dxa"/>
          </w:tcPr>
          <w:p w14:paraId="7BF98268" w14:textId="4392FD37" w:rsidR="00772974" w:rsidRPr="004E2F32" w:rsidRDefault="00772974" w:rsidP="00E224DF">
            <w:pPr>
              <w:ind w:left="0"/>
              <w:rPr>
                <w:b/>
                <w:bCs/>
              </w:rPr>
            </w:pPr>
            <w:r w:rsidRPr="004E2F32">
              <w:rPr>
                <w:b/>
                <w:bCs/>
              </w:rPr>
              <w:t>n (Suppress in OPAC)</w:t>
            </w:r>
          </w:p>
        </w:tc>
      </w:tr>
      <w:tr w:rsidR="00772974" w14:paraId="75D768F8" w14:textId="77777777" w:rsidTr="00E224DF">
        <w:tc>
          <w:tcPr>
            <w:tcW w:w="2958" w:type="dxa"/>
          </w:tcPr>
          <w:p w14:paraId="3D9C3C65" w14:textId="1FF5905E" w:rsidR="00772974" w:rsidRPr="004E2F32" w:rsidRDefault="00772974" w:rsidP="00E224DF">
            <w:pPr>
              <w:ind w:left="0"/>
              <w:rPr>
                <w:b/>
                <w:bCs/>
              </w:rPr>
            </w:pPr>
            <w:r w:rsidRPr="004E2F32">
              <w:rPr>
                <w:b/>
                <w:bCs/>
              </w:rPr>
              <w:t>Send email 1 day after the Trial Begin Date only if a resource record indicates its status is still inactive</w:t>
            </w:r>
          </w:p>
        </w:tc>
        <w:tc>
          <w:tcPr>
            <w:tcW w:w="1105" w:type="dxa"/>
          </w:tcPr>
          <w:p w14:paraId="2DC5D38C" w14:textId="2AB03952" w:rsidR="00772974" w:rsidRPr="004E2F32" w:rsidRDefault="00772974" w:rsidP="00E224DF">
            <w:pPr>
              <w:ind w:left="0"/>
              <w:rPr>
                <w:b/>
                <w:bCs/>
              </w:rPr>
            </w:pPr>
            <w:r w:rsidRPr="004E2F32">
              <w:rPr>
                <w:b/>
                <w:bCs/>
              </w:rPr>
              <w:t>1</w:t>
            </w:r>
          </w:p>
        </w:tc>
        <w:tc>
          <w:tcPr>
            <w:tcW w:w="1547" w:type="dxa"/>
          </w:tcPr>
          <w:p w14:paraId="19516812" w14:textId="54B20ECF" w:rsidR="00772974" w:rsidRPr="004E2F32" w:rsidRDefault="00772974" w:rsidP="00E224DF">
            <w:pPr>
              <w:ind w:left="0"/>
              <w:rPr>
                <w:b/>
                <w:bCs/>
              </w:rPr>
            </w:pPr>
            <w:r w:rsidRPr="004E2F32">
              <w:rPr>
                <w:b/>
                <w:bCs/>
              </w:rPr>
              <w:t>Trial Begin Date</w:t>
            </w:r>
          </w:p>
        </w:tc>
        <w:tc>
          <w:tcPr>
            <w:tcW w:w="1645" w:type="dxa"/>
          </w:tcPr>
          <w:p w14:paraId="63123595" w14:textId="42FCA31C" w:rsidR="00772974" w:rsidRPr="004E2F32" w:rsidRDefault="00772974" w:rsidP="00E224DF">
            <w:pPr>
              <w:ind w:left="0"/>
              <w:rPr>
                <w:b/>
                <w:bCs/>
              </w:rPr>
            </w:pPr>
            <w:r w:rsidRPr="004E2F32">
              <w:rPr>
                <w:b/>
                <w:bCs/>
              </w:rPr>
              <w:t>Status</w:t>
            </w:r>
          </w:p>
        </w:tc>
        <w:tc>
          <w:tcPr>
            <w:tcW w:w="1663" w:type="dxa"/>
          </w:tcPr>
          <w:p w14:paraId="4C9E7410" w14:textId="4DEF0FF0" w:rsidR="00772974" w:rsidRPr="004E2F32" w:rsidRDefault="00772974" w:rsidP="00E224DF">
            <w:pPr>
              <w:ind w:left="0"/>
              <w:rPr>
                <w:b/>
                <w:bCs/>
              </w:rPr>
            </w:pPr>
            <w:proofErr w:type="spellStart"/>
            <w:r w:rsidRPr="004E2F32">
              <w:rPr>
                <w:b/>
                <w:bCs/>
              </w:rPr>
              <w:t>i</w:t>
            </w:r>
            <w:proofErr w:type="spellEnd"/>
            <w:r w:rsidRPr="004E2F32">
              <w:rPr>
                <w:b/>
                <w:bCs/>
              </w:rPr>
              <w:t xml:space="preserve"> (Inactive)</w:t>
            </w:r>
          </w:p>
        </w:tc>
      </w:tr>
    </w:tbl>
    <w:p w14:paraId="5ED9E21E" w14:textId="4B86BD1B" w:rsidR="00772974" w:rsidRDefault="00772974" w:rsidP="00772974"/>
    <w:p w14:paraId="2B918F1C" w14:textId="77777777" w:rsidR="004E2F32" w:rsidRDefault="004E2F32" w:rsidP="00E224DF">
      <w:pPr>
        <w:pStyle w:val="Heading2"/>
      </w:pPr>
      <w:r>
        <w:t>Annual Recurrence</w:t>
      </w:r>
    </w:p>
    <w:p w14:paraId="7AF887EF" w14:textId="13229ABB" w:rsidR="00554775" w:rsidRDefault="004E2F32" w:rsidP="004E2F32">
      <w:r>
        <w:t xml:space="preserve">ERM's Tickler notification feature also has an Annual Recurrence option that allows notifications to be generated only from Month-Day elements in a Resource or License fixed-length date field. This means that you do not have to update the Year element in your date fields </w:t>
      </w:r>
      <w:proofErr w:type="gramStart"/>
      <w:r>
        <w:t>in order to</w:t>
      </w:r>
      <w:proofErr w:type="gramEnd"/>
      <w:r>
        <w:t xml:space="preserve"> receive a Tickler notification on an annual basis.</w:t>
      </w:r>
    </w:p>
    <w:p w14:paraId="3196B826" w14:textId="7E2356D4" w:rsidR="00E224DF" w:rsidRDefault="00E224DF" w:rsidP="004E2F32"/>
    <w:p w14:paraId="23B798F0" w14:textId="77777777" w:rsidR="002237B9" w:rsidRDefault="002237B9" w:rsidP="002237B9">
      <w:pPr>
        <w:ind w:left="0"/>
      </w:pPr>
    </w:p>
    <w:p w14:paraId="0A62B982" w14:textId="087371B8" w:rsidR="00E224DF" w:rsidRDefault="00E224DF" w:rsidP="004E2F32"/>
    <w:p w14:paraId="1DC512C2" w14:textId="330E25FE" w:rsidR="00E224DF" w:rsidRDefault="00E224DF" w:rsidP="00E224DF">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8207C7">
        <w:t>2</w:t>
      </w:r>
      <w:r>
        <w:t>, Innovative Interfaces, Inc.</w:t>
      </w:r>
    </w:p>
    <w:p w14:paraId="4FDE49E1" w14:textId="77777777" w:rsidR="00E224DF" w:rsidRPr="00554775" w:rsidRDefault="00E224DF" w:rsidP="004E2F32"/>
    <w:sectPr w:rsidR="00E224DF" w:rsidRPr="00554775" w:rsidSect="00A5336B">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DB60" w14:textId="77777777" w:rsidR="00D32592" w:rsidRDefault="00D32592" w:rsidP="00750BFA">
      <w:r>
        <w:separator/>
      </w:r>
    </w:p>
  </w:endnote>
  <w:endnote w:type="continuationSeparator" w:id="0">
    <w:p w14:paraId="4A41D6B4" w14:textId="77777777" w:rsidR="00D32592" w:rsidRDefault="00D32592"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F2CE" w14:textId="77777777" w:rsidR="00A5336B" w:rsidRPr="00FF63CE" w:rsidRDefault="00A5336B" w:rsidP="00A5336B">
    <w:pPr>
      <w:pStyle w:val="Footer"/>
      <w:tabs>
        <w:tab w:val="clear" w:pos="9360"/>
        <w:tab w:val="right" w:pos="9356"/>
      </w:tabs>
      <w:rPr>
        <w:sz w:val="16"/>
        <w:szCs w:val="16"/>
      </w:rPr>
    </w:pPr>
  </w:p>
  <w:p w14:paraId="6724A9A4" w14:textId="77777777" w:rsidR="00A5336B" w:rsidRPr="000F0F91" w:rsidRDefault="00D32592"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3C5EB8">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3C5EB8">
              <w:rPr>
                <w:bCs/>
                <w:iCs/>
                <w:noProof/>
                <w:sz w:val="20"/>
              </w:rPr>
              <w:t>2</w:t>
            </w:r>
            <w:r w:rsidR="00A5336B" w:rsidRPr="000F0F91">
              <w:rPr>
                <w:bCs/>
                <w:iCs/>
                <w:sz w:val="20"/>
              </w:rPr>
              <w:fldChar w:fldCharType="end"/>
            </w:r>
          </w:sdtContent>
        </w:sdt>
      </w:sdtContent>
    </w:sdt>
  </w:p>
  <w:p w14:paraId="048CEC7F" w14:textId="77777777" w:rsidR="00A5336B" w:rsidRDefault="00A5336B" w:rsidP="00A5336B">
    <w:pPr>
      <w:pStyle w:val="Footer"/>
    </w:pPr>
  </w:p>
  <w:p w14:paraId="2D59778A" w14:textId="39D39D30" w:rsidR="00A5336B" w:rsidRPr="00256302" w:rsidRDefault="008207C7" w:rsidP="00A5336B">
    <w:pPr>
      <w:pStyle w:val="Footer"/>
      <w:jc w:val="center"/>
    </w:pPr>
    <w:r>
      <w:rPr>
        <w:noProof/>
      </w:rPr>
      <w:drawing>
        <wp:inline distT="0" distB="0" distL="0" distR="0" wp14:anchorId="030C5C42" wp14:editId="228B70AB">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5C4BB3D6"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FAE3" w14:textId="77777777" w:rsidR="00D32592" w:rsidRDefault="00D32592" w:rsidP="00750BFA">
      <w:r>
        <w:separator/>
      </w:r>
    </w:p>
  </w:footnote>
  <w:footnote w:type="continuationSeparator" w:id="0">
    <w:p w14:paraId="56A9DA8F" w14:textId="77777777" w:rsidR="00D32592" w:rsidRDefault="00D32592"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A009" w14:textId="77777777" w:rsidR="00750BFA" w:rsidRDefault="00750BFA" w:rsidP="00750BFA">
    <w:pPr>
      <w:pStyle w:val="Header"/>
      <w:jc w:val="center"/>
    </w:pPr>
    <w:r w:rsidRPr="006565D3">
      <w:rPr>
        <w:noProof/>
        <w:lang w:bidi="he-IL"/>
      </w:rPr>
      <w:drawing>
        <wp:inline distT="0" distB="0" distL="0" distR="0" wp14:anchorId="18FE4982" wp14:editId="6772FF44">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74"/>
    <w:rsid w:val="00052B86"/>
    <w:rsid w:val="000634D9"/>
    <w:rsid w:val="00160CDA"/>
    <w:rsid w:val="00171A64"/>
    <w:rsid w:val="002237B9"/>
    <w:rsid w:val="002F38EE"/>
    <w:rsid w:val="003C5EB8"/>
    <w:rsid w:val="003C6D9B"/>
    <w:rsid w:val="00447EAA"/>
    <w:rsid w:val="004E2F32"/>
    <w:rsid w:val="004E6350"/>
    <w:rsid w:val="00554775"/>
    <w:rsid w:val="00622CF6"/>
    <w:rsid w:val="006B1B59"/>
    <w:rsid w:val="00750BFA"/>
    <w:rsid w:val="00772974"/>
    <w:rsid w:val="007E2F86"/>
    <w:rsid w:val="008207C7"/>
    <w:rsid w:val="00A0440D"/>
    <w:rsid w:val="00A5336B"/>
    <w:rsid w:val="00AD7869"/>
    <w:rsid w:val="00B67ECE"/>
    <w:rsid w:val="00BD00F3"/>
    <w:rsid w:val="00D32592"/>
    <w:rsid w:val="00D60286"/>
    <w:rsid w:val="00D94C43"/>
    <w:rsid w:val="00DC244D"/>
    <w:rsid w:val="00E224DF"/>
    <w:rsid w:val="00E45706"/>
    <w:rsid w:val="00E54FDB"/>
    <w:rsid w:val="00E7444F"/>
    <w:rsid w:val="00EB5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27DD"/>
  <w15:chartTrackingRefBased/>
  <w15:docId w15:val="{192FBCA9-E11B-4EE3-8B75-13618EE2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Desktop\Project%20Reveal\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343C5-2B60-4457-AC99-56995A176C0F}">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2.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3.xml><?xml version="1.0" encoding="utf-8"?>
<ds:datastoreItem xmlns:ds="http://schemas.openxmlformats.org/officeDocument/2006/customXml" ds:itemID="{ABF41928-4279-4844-8EED-FF8E6750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28</TotalTime>
  <Pages>2</Pages>
  <Words>284</Words>
  <Characters>1429</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Tickler Notifications</dc:title>
  <dc:subject/>
  <dc:creator>Jason Boland</dc:creator>
  <cp:keywords>ticklers, notifications, electronic resource management, resource record</cp:keywords>
  <dc:description/>
  <cp:lastModifiedBy>Schlomit Schwarzer</cp:lastModifiedBy>
  <cp:revision>10</cp:revision>
  <dcterms:created xsi:type="dcterms:W3CDTF">2020-08-11T20:41:00Z</dcterms:created>
  <dcterms:modified xsi:type="dcterms:W3CDTF">2022-04-17T13:16:00Z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27900</vt:r8>
  </property>
  <property fmtid="{D5CDD505-2E9C-101B-9397-08002B2CF9AE}" pid="4" name="ITLCPublicURL">
    <vt:lpwstr>,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GUID">
    <vt:lpwstr>b4138b93-9167-4026-a91e-8af809100145</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ies>
</file>