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63C6" w14:textId="7D540538" w:rsidR="00EB56E7" w:rsidRDefault="00753AD5" w:rsidP="006B1B59">
      <w:pPr>
        <w:pStyle w:val="Title"/>
      </w:pPr>
      <w:r>
        <w:t xml:space="preserve">sierra </w:t>
      </w:r>
      <w:r w:rsidR="00C43F2F">
        <w:t>Acquisitions</w:t>
      </w:r>
    </w:p>
    <w:p w14:paraId="616A52A8" w14:textId="7D943096" w:rsidR="006B1B59" w:rsidRDefault="001D09C9" w:rsidP="006B1B59">
      <w:pPr>
        <w:pStyle w:val="Heading1"/>
      </w:pPr>
      <w:r>
        <w:t xml:space="preserve">Fiscal Closing </w:t>
      </w:r>
      <w:r w:rsidR="006F44E7">
        <w:t xml:space="preserve">- </w:t>
      </w:r>
      <w:r>
        <w:t>Method</w:t>
      </w:r>
      <w:r w:rsidR="00125015">
        <w:t xml:space="preserve"> </w:t>
      </w:r>
      <w:r w:rsidR="00B6692D">
        <w:t>Two</w:t>
      </w:r>
    </w:p>
    <w:p w14:paraId="46F1EBEB" w14:textId="77777777" w:rsidR="000634D9" w:rsidRDefault="000634D9" w:rsidP="000634D9">
      <w:r>
        <w:rPr>
          <w:noProof/>
          <w:lang w:bidi="he-IL"/>
        </w:rPr>
        <mc:AlternateContent>
          <mc:Choice Requires="wps">
            <w:drawing>
              <wp:inline distT="0" distB="0" distL="0" distR="0" wp14:anchorId="5A888672" wp14:editId="429AA9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pic="http://schemas.openxmlformats.org/drawingml/2006/picture" xmlns:a14="http://schemas.microsoft.com/office/drawing/2010/main">
            <w:pict w14:anchorId="3D0F1B03">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491FA3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49F47DFF" w14:textId="77777777" w:rsidR="000634D9" w:rsidRPr="00790359" w:rsidRDefault="000634D9" w:rsidP="000634D9">
      <w:pPr>
        <w:rPr>
          <w:color w:val="auto"/>
        </w:rPr>
      </w:pPr>
    </w:p>
    <w:p w14:paraId="3EC0FDC1" w14:textId="57DD22D5" w:rsidR="00C43F2F" w:rsidRPr="00E70211" w:rsidRDefault="00125015" w:rsidP="008D47F4">
      <w:r>
        <w:t xml:space="preserve">This </w:t>
      </w:r>
      <w:r w:rsidR="00C43F2F">
        <w:t>is a r</w:t>
      </w:r>
      <w:r>
        <w:t>eview</w:t>
      </w:r>
      <w:r w:rsidR="00C43F2F">
        <w:t xml:space="preserve"> of</w:t>
      </w:r>
      <w:r>
        <w:t xml:space="preserve"> the steps </w:t>
      </w:r>
      <w:r w:rsidR="00AB41F9">
        <w:t>for</w:t>
      </w:r>
      <w:r>
        <w:t xml:space="preserve"> Fiscal Close Method </w:t>
      </w:r>
      <w:r w:rsidR="00B6692D">
        <w:t>Two</w:t>
      </w:r>
      <w:r>
        <w:t>.  For</w:t>
      </w:r>
      <w:r w:rsidR="0075144C">
        <w:t xml:space="preserve"> additional</w:t>
      </w:r>
      <w:r>
        <w:t xml:space="preserve"> information on the differences between the methods consult the </w:t>
      </w:r>
      <w:hyperlink r:id="rId10">
        <w:r w:rsidRPr="3BE4C798">
          <w:rPr>
            <w:rStyle w:val="Hyperlink"/>
          </w:rPr>
          <w:t>summary of fiscal closing</w:t>
        </w:r>
      </w:hyperlink>
      <w:r>
        <w:t xml:space="preserve"> and the video.</w:t>
      </w:r>
      <w:r w:rsidR="0075144C">
        <w:t xml:space="preserve">  However, </w:t>
      </w:r>
      <w:r w:rsidR="00395189">
        <w:t>let</w:t>
      </w:r>
      <w:r w:rsidR="00B5125C">
        <w:t>’</w:t>
      </w:r>
      <w:r w:rsidR="00395189">
        <w:t xml:space="preserve">s start with a quick review </w:t>
      </w:r>
      <w:r w:rsidR="00C43F2F">
        <w:t>of the logic behind this method</w:t>
      </w:r>
      <w:r w:rsidR="0075144C">
        <w:t xml:space="preserve">.  </w:t>
      </w:r>
    </w:p>
    <w:p w14:paraId="31C3031B" w14:textId="77777777" w:rsidR="00C43F2F" w:rsidRPr="00E70211" w:rsidRDefault="00C43F2F" w:rsidP="008D47F4"/>
    <w:p w14:paraId="654E1CF1" w14:textId="1523C298" w:rsidR="008D47F4" w:rsidRPr="00E70211" w:rsidRDefault="0075144C" w:rsidP="008D47F4">
      <w:r w:rsidRPr="00E70211">
        <w:t>We have an open order at the end of the fiscal year.  We need to change the listed funds to a fund code that represents a soon to be previous fiscal year.  In this example we have an order which has copies linked to four different locations and funds that will not be invoiced before fiscal year end.</w:t>
      </w:r>
      <w:r w:rsidR="00790359" w:rsidRPr="00E70211">
        <w:t xml:space="preserve">  We cannot use Rapid</w:t>
      </w:r>
      <w:r w:rsidR="00C43F2F" w:rsidRPr="00E70211">
        <w:t>/Global</w:t>
      </w:r>
      <w:r w:rsidR="00790359" w:rsidRPr="00E70211">
        <w:t xml:space="preserve"> Update to do this step and there are too many orders to do this manually.</w:t>
      </w:r>
    </w:p>
    <w:p w14:paraId="2D9740E8" w14:textId="6EA161F7" w:rsidR="00DE7029" w:rsidRDefault="0075144C" w:rsidP="008D47F4">
      <w:pPr>
        <w:rPr>
          <w:color w:val="FF0000"/>
        </w:rPr>
      </w:pPr>
      <w:r>
        <w:rPr>
          <w:noProof/>
        </w:rPr>
        <w:drawing>
          <wp:inline distT="0" distB="0" distL="0" distR="0" wp14:anchorId="790601CE" wp14:editId="3BE4C798">
            <wp:extent cx="2121009" cy="1320868"/>
            <wp:effectExtent l="0" t="0" r="0" b="0"/>
            <wp:docPr id="1152715805" name="Picture 21" descr="Example of an order record showing the assigned funds for an open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1">
                      <a:extLst>
                        <a:ext uri="{28A0092B-C50C-407E-A947-70E740481C1C}">
                          <a14:useLocalDpi xmlns:a14="http://schemas.microsoft.com/office/drawing/2010/main" val="0"/>
                        </a:ext>
                      </a:extLst>
                    </a:blip>
                    <a:stretch>
                      <a:fillRect/>
                    </a:stretch>
                  </pic:blipFill>
                  <pic:spPr>
                    <a:xfrm>
                      <a:off x="0" y="0"/>
                      <a:ext cx="2121009" cy="1320868"/>
                    </a:xfrm>
                    <a:prstGeom prst="rect">
                      <a:avLst/>
                    </a:prstGeom>
                  </pic:spPr>
                </pic:pic>
              </a:graphicData>
            </a:graphic>
          </wp:inline>
        </w:drawing>
      </w:r>
    </w:p>
    <w:p w14:paraId="403823A3" w14:textId="4DF13235" w:rsidR="0075144C" w:rsidRDefault="0075144C" w:rsidP="008D47F4">
      <w:pPr>
        <w:rPr>
          <w:color w:val="FF0000"/>
        </w:rPr>
      </w:pPr>
    </w:p>
    <w:p w14:paraId="44472CC8" w14:textId="77777777" w:rsidR="00790359" w:rsidRPr="00E70211" w:rsidRDefault="00B6692D" w:rsidP="008D47F4">
      <w:r w:rsidRPr="00E70211">
        <w:t>Before starting Fiscal Close Method Two you will need to have created the previous year fund structure.  For example</w:t>
      </w:r>
      <w:r w:rsidR="00F52B70" w:rsidRPr="00E70211">
        <w:t>,</w:t>
      </w:r>
      <w:r w:rsidRPr="00E70211">
        <w:t xml:space="preserve"> if we </w:t>
      </w:r>
      <w:r w:rsidR="00F52B70" w:rsidRPr="00E70211">
        <w:t>currently</w:t>
      </w:r>
      <w:r w:rsidRPr="00E70211">
        <w:t xml:space="preserve"> have open orders in Main – Books – Fiction we will need a Previous Main Books Fiction fund to move those open orders to.  </w:t>
      </w:r>
    </w:p>
    <w:p w14:paraId="52CFB1EF" w14:textId="77777777" w:rsidR="00790359" w:rsidRPr="00E70211" w:rsidRDefault="00790359" w:rsidP="008D47F4"/>
    <w:p w14:paraId="25627C79" w14:textId="42C8A2D8" w:rsidR="00B6692D" w:rsidRPr="00E70211" w:rsidRDefault="00B6692D" w:rsidP="008D47F4">
      <w:r w:rsidRPr="00E70211">
        <w:t xml:space="preserve">During the Tab Four – Copy and Clear Funds you will indicate which previous year funds these orders should be moved.  </w:t>
      </w:r>
      <w:r w:rsidR="00790359" w:rsidRPr="00E70211">
        <w:t>Again, t</w:t>
      </w:r>
      <w:r w:rsidRPr="00E70211">
        <w:t xml:space="preserve">hose funds </w:t>
      </w:r>
      <w:r w:rsidR="00F52B70" w:rsidRPr="00E70211">
        <w:t>must</w:t>
      </w:r>
      <w:r w:rsidRPr="00E70211">
        <w:t xml:space="preserve"> already be in Sierra.</w:t>
      </w:r>
      <w:r w:rsidR="0075144C" w:rsidRPr="00E70211">
        <w:t xml:space="preserve">  Here we see the corresponding previous year funds that match with the above example.  Method Two will update </w:t>
      </w:r>
      <w:r w:rsidR="00790359" w:rsidRPr="00E70211">
        <w:t>the</w:t>
      </w:r>
      <w:r w:rsidR="0075144C" w:rsidRPr="00E70211">
        <w:t xml:space="preserve"> open orders to the previous year</w:t>
      </w:r>
      <w:r w:rsidR="00790359" w:rsidRPr="00E70211">
        <w:t xml:space="preserve"> fund codes.</w:t>
      </w:r>
    </w:p>
    <w:p w14:paraId="29DBBE38" w14:textId="6E1D26E2" w:rsidR="0075144C" w:rsidRDefault="0075144C" w:rsidP="008D47F4">
      <w:pPr>
        <w:rPr>
          <w:color w:val="auto"/>
        </w:rPr>
      </w:pPr>
    </w:p>
    <w:p w14:paraId="6F69A34F" w14:textId="52E95618" w:rsidR="0075144C" w:rsidRDefault="0075144C" w:rsidP="008D47F4">
      <w:pPr>
        <w:rPr>
          <w:color w:val="auto"/>
        </w:rPr>
      </w:pPr>
      <w:r>
        <w:rPr>
          <w:noProof/>
        </w:rPr>
        <w:drawing>
          <wp:inline distT="0" distB="0" distL="0" distR="0" wp14:anchorId="5C98A6D1" wp14:editId="0BD3B532">
            <wp:extent cx="1663786" cy="1168460"/>
            <wp:effectExtent l="0" t="0" r="0" b="0"/>
            <wp:docPr id="421761129" name="Picture 24" descr="An example of Order Record funds showing the addition of pervious year funds for each current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2">
                      <a:extLst>
                        <a:ext uri="{28A0092B-C50C-407E-A947-70E740481C1C}">
                          <a14:useLocalDpi xmlns:a14="http://schemas.microsoft.com/office/drawing/2010/main" val="0"/>
                        </a:ext>
                      </a:extLst>
                    </a:blip>
                    <a:stretch>
                      <a:fillRect/>
                    </a:stretch>
                  </pic:blipFill>
                  <pic:spPr>
                    <a:xfrm>
                      <a:off x="0" y="0"/>
                      <a:ext cx="1663786" cy="1168460"/>
                    </a:xfrm>
                    <a:prstGeom prst="rect">
                      <a:avLst/>
                    </a:prstGeom>
                  </pic:spPr>
                </pic:pic>
              </a:graphicData>
            </a:graphic>
          </wp:inline>
        </w:drawing>
      </w:r>
    </w:p>
    <w:p w14:paraId="4B8612BB" w14:textId="6732D735" w:rsidR="00F52B70" w:rsidRDefault="00F52B70" w:rsidP="008D47F4">
      <w:pPr>
        <w:rPr>
          <w:color w:val="auto"/>
        </w:rPr>
      </w:pPr>
    </w:p>
    <w:p w14:paraId="77568D12" w14:textId="77777777" w:rsidR="003C6CA4" w:rsidRDefault="003C6CA4">
      <w:pPr>
        <w:ind w:left="0"/>
      </w:pPr>
      <w:r>
        <w:br w:type="page"/>
      </w:r>
    </w:p>
    <w:p w14:paraId="2476FD2C" w14:textId="1568FA49" w:rsidR="005C1F81" w:rsidRPr="00E70211" w:rsidRDefault="00790359" w:rsidP="008D47F4">
      <w:r w:rsidRPr="00E70211">
        <w:lastRenderedPageBreak/>
        <w:t>H</w:t>
      </w:r>
      <w:r w:rsidR="005C1F81" w:rsidRPr="00E70211">
        <w:t xml:space="preserve">ere we see what our Fund Structure would look like before running Fiscal Close.  Each fund has a corresponding new </w:t>
      </w:r>
      <w:proofErr w:type="spellStart"/>
      <w:r w:rsidR="005C1F81" w:rsidRPr="00E70211">
        <w:t>prev</w:t>
      </w:r>
      <w:proofErr w:type="spellEnd"/>
      <w:r w:rsidR="005C1F81" w:rsidRPr="00E70211">
        <w:t xml:space="preserve"> fund as in </w:t>
      </w:r>
      <w:proofErr w:type="spellStart"/>
      <w:r w:rsidR="005C1F81" w:rsidRPr="00E70211">
        <w:t>ebadl</w:t>
      </w:r>
      <w:proofErr w:type="spellEnd"/>
      <w:r w:rsidR="005C1F81" w:rsidRPr="00E70211">
        <w:t xml:space="preserve"> has a </w:t>
      </w:r>
      <w:proofErr w:type="spellStart"/>
      <w:r w:rsidR="005C1F81" w:rsidRPr="00E70211">
        <w:t>prevebadl</w:t>
      </w:r>
      <w:proofErr w:type="spellEnd"/>
      <w:r w:rsidRPr="00E70211">
        <w:t>.</w:t>
      </w:r>
    </w:p>
    <w:p w14:paraId="3FB1C3E7" w14:textId="15E4AA56" w:rsidR="005C1F81" w:rsidRDefault="005C1F81" w:rsidP="008D47F4">
      <w:pPr>
        <w:rPr>
          <w:color w:val="auto"/>
        </w:rPr>
      </w:pPr>
      <w:r>
        <w:rPr>
          <w:noProof/>
        </w:rPr>
        <w:drawing>
          <wp:inline distT="0" distB="0" distL="0" distR="0" wp14:anchorId="0067701A" wp14:editId="2E3CFEAF">
            <wp:extent cx="5943600" cy="866140"/>
            <wp:effectExtent l="0" t="0" r="0" b="0"/>
            <wp:docPr id="1535056611" name="Picture 36" descr="An example of a Fund Structure showing the current and previous year funds.  The current year funds all have encumbrances representing orders that will not be paid by fiscal year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3">
                      <a:extLst>
                        <a:ext uri="{28A0092B-C50C-407E-A947-70E740481C1C}">
                          <a14:useLocalDpi xmlns:a14="http://schemas.microsoft.com/office/drawing/2010/main" val="0"/>
                        </a:ext>
                      </a:extLst>
                    </a:blip>
                    <a:stretch>
                      <a:fillRect/>
                    </a:stretch>
                  </pic:blipFill>
                  <pic:spPr>
                    <a:xfrm>
                      <a:off x="0" y="0"/>
                      <a:ext cx="5943600" cy="866140"/>
                    </a:xfrm>
                    <a:prstGeom prst="rect">
                      <a:avLst/>
                    </a:prstGeom>
                  </pic:spPr>
                </pic:pic>
              </a:graphicData>
            </a:graphic>
          </wp:inline>
        </w:drawing>
      </w:r>
    </w:p>
    <w:p w14:paraId="7E37A99C" w14:textId="77777777" w:rsidR="00790359" w:rsidRDefault="00790359" w:rsidP="008D47F4">
      <w:pPr>
        <w:rPr>
          <w:color w:val="auto"/>
        </w:rPr>
      </w:pPr>
    </w:p>
    <w:p w14:paraId="421B668A" w14:textId="002AA768" w:rsidR="00F52B70" w:rsidRPr="00E70211" w:rsidRDefault="00790359" w:rsidP="008D47F4">
      <w:r w:rsidRPr="00E70211">
        <w:t>T</w:t>
      </w:r>
      <w:r w:rsidR="00F52B70" w:rsidRPr="00E70211">
        <w:t>o only update a group of</w:t>
      </w:r>
      <w:r w:rsidRPr="00E70211">
        <w:t xml:space="preserve"> specific open</w:t>
      </w:r>
      <w:r w:rsidR="00F52B70" w:rsidRPr="00E70211">
        <w:t xml:space="preserve"> orders</w:t>
      </w:r>
      <w:r w:rsidRPr="00E70211">
        <w:t xml:space="preserve"> and not all of them</w:t>
      </w:r>
      <w:r w:rsidR="00F52B70" w:rsidRPr="00E70211">
        <w:t xml:space="preserve"> you will need to use the Manual </w:t>
      </w:r>
      <w:r w:rsidR="006F752E" w:rsidRPr="00E70211">
        <w:t>setting</w:t>
      </w:r>
      <w:r w:rsidR="00F52B70" w:rsidRPr="00E70211">
        <w:t xml:space="preserve"> </w:t>
      </w:r>
      <w:r w:rsidR="0075144C" w:rsidRPr="00E70211">
        <w:t xml:space="preserve">of Fiscal Close Method Two </w:t>
      </w:r>
      <w:r w:rsidR="00F52B70" w:rsidRPr="00E70211">
        <w:t xml:space="preserve">and have those orders in a review file.  The two automatic </w:t>
      </w:r>
      <w:r w:rsidR="006F752E" w:rsidRPr="00E70211">
        <w:t>versions</w:t>
      </w:r>
      <w:r w:rsidR="00F52B70" w:rsidRPr="00E70211">
        <w:t xml:space="preserve"> of Method Two work with all open orders.  There </w:t>
      </w:r>
      <w:r w:rsidR="06094BB6" w:rsidRPr="00E70211">
        <w:t xml:space="preserve">is </w:t>
      </w:r>
      <w:r w:rsidR="00F52B70" w:rsidRPr="00E70211">
        <w:t>not an option to exclude certain orders</w:t>
      </w:r>
      <w:r w:rsidR="00C43F2F" w:rsidRPr="00E70211">
        <w:t xml:space="preserve"> with either Automatic setting.</w:t>
      </w:r>
      <w:r w:rsidR="00F52B70" w:rsidRPr="00E70211">
        <w:t xml:space="preserve">  With the Manual</w:t>
      </w:r>
      <w:r w:rsidR="006F752E" w:rsidRPr="00E70211">
        <w:t xml:space="preserve"> version you select ahead of time which orders to update.  </w:t>
      </w:r>
    </w:p>
    <w:p w14:paraId="68ADE552" w14:textId="72436410" w:rsidR="00790359" w:rsidRPr="00E70211" w:rsidRDefault="00790359" w:rsidP="008D47F4"/>
    <w:p w14:paraId="1E629B85" w14:textId="0F2CD1BF" w:rsidR="00790359" w:rsidRPr="00E70211" w:rsidRDefault="00790359" w:rsidP="008D47F4">
      <w:r w:rsidRPr="00E70211">
        <w:t>The desired outcome of a Method Two Fiscal Close</w:t>
      </w:r>
      <w:r w:rsidR="34ADE714" w:rsidRPr="00E70211">
        <w:t xml:space="preserve"> is that w</w:t>
      </w:r>
      <w:r w:rsidRPr="00E70211">
        <w:t>e have outstanding encumbrances and a remaining cash balance.</w:t>
      </w:r>
    </w:p>
    <w:p w14:paraId="7CF509D0" w14:textId="5F866F7E" w:rsidR="00790359" w:rsidRDefault="00790359" w:rsidP="008D47F4">
      <w:pPr>
        <w:rPr>
          <w:color w:val="auto"/>
        </w:rPr>
      </w:pPr>
    </w:p>
    <w:p w14:paraId="43700E9D" w14:textId="58F2581C" w:rsidR="00790359" w:rsidRDefault="00790359" w:rsidP="008D47F4">
      <w:pPr>
        <w:rPr>
          <w:color w:val="auto"/>
        </w:rPr>
      </w:pPr>
      <w:r>
        <w:rPr>
          <w:noProof/>
        </w:rPr>
        <w:drawing>
          <wp:inline distT="0" distB="0" distL="0" distR="0" wp14:anchorId="7B6D6D29" wp14:editId="2FF79591">
            <wp:extent cx="5664493" cy="1054154"/>
            <wp:effectExtent l="0" t="0" r="0" b="0"/>
            <wp:docPr id="1417246238" name="Picture 37" descr="An example of the Fund Structure before fiscal close that shows balances in the current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4">
                      <a:extLst>
                        <a:ext uri="{28A0092B-C50C-407E-A947-70E740481C1C}">
                          <a14:useLocalDpi xmlns:a14="http://schemas.microsoft.com/office/drawing/2010/main" val="0"/>
                        </a:ext>
                      </a:extLst>
                    </a:blip>
                    <a:stretch>
                      <a:fillRect/>
                    </a:stretch>
                  </pic:blipFill>
                  <pic:spPr>
                    <a:xfrm>
                      <a:off x="0" y="0"/>
                      <a:ext cx="5664493" cy="1054154"/>
                    </a:xfrm>
                    <a:prstGeom prst="rect">
                      <a:avLst/>
                    </a:prstGeom>
                  </pic:spPr>
                </pic:pic>
              </a:graphicData>
            </a:graphic>
          </wp:inline>
        </w:drawing>
      </w:r>
    </w:p>
    <w:p w14:paraId="642B1CA9" w14:textId="04A4928E" w:rsidR="00790359" w:rsidRDefault="00790359" w:rsidP="008D47F4">
      <w:pPr>
        <w:rPr>
          <w:color w:val="auto"/>
        </w:rPr>
      </w:pPr>
    </w:p>
    <w:p w14:paraId="3896F301" w14:textId="4BA322F9" w:rsidR="00790359" w:rsidRPr="00E70211" w:rsidRDefault="00790359" w:rsidP="008D47F4">
      <w:r w:rsidRPr="00E70211">
        <w:t>After Fiscal Close we have an appropriation (amount depends on the type of Method Two) and encumbrances on our previous year funds.</w:t>
      </w:r>
    </w:p>
    <w:p w14:paraId="2E1AF030" w14:textId="164524CD" w:rsidR="00790359" w:rsidRDefault="00790359" w:rsidP="008D47F4">
      <w:pPr>
        <w:rPr>
          <w:color w:val="auto"/>
        </w:rPr>
      </w:pPr>
    </w:p>
    <w:p w14:paraId="75A183FE" w14:textId="107A2331" w:rsidR="00790359" w:rsidRPr="00B6692D" w:rsidRDefault="00790359" w:rsidP="008D47F4">
      <w:pPr>
        <w:rPr>
          <w:color w:val="auto"/>
        </w:rPr>
      </w:pPr>
      <w:r>
        <w:rPr>
          <w:noProof/>
        </w:rPr>
        <w:drawing>
          <wp:inline distT="0" distB="0" distL="0" distR="0" wp14:anchorId="38A4BD7B" wp14:editId="2D50DAEB">
            <wp:extent cx="5734344" cy="1206562"/>
            <wp:effectExtent l="0" t="0" r="0" b="0"/>
            <wp:docPr id="17698289" name="Picture 38" descr="An example of the Fund Structure after fiscal close that shows balances have moved to the previous fund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15">
                      <a:extLst>
                        <a:ext uri="{28A0092B-C50C-407E-A947-70E740481C1C}">
                          <a14:useLocalDpi xmlns:a14="http://schemas.microsoft.com/office/drawing/2010/main" val="0"/>
                        </a:ext>
                      </a:extLst>
                    </a:blip>
                    <a:stretch>
                      <a:fillRect/>
                    </a:stretch>
                  </pic:blipFill>
                  <pic:spPr>
                    <a:xfrm>
                      <a:off x="0" y="0"/>
                      <a:ext cx="5734344" cy="1206562"/>
                    </a:xfrm>
                    <a:prstGeom prst="rect">
                      <a:avLst/>
                    </a:prstGeom>
                  </pic:spPr>
                </pic:pic>
              </a:graphicData>
            </a:graphic>
          </wp:inline>
        </w:drawing>
      </w:r>
    </w:p>
    <w:p w14:paraId="2F10E2AC" w14:textId="35D4A4F8" w:rsidR="00125015" w:rsidRDefault="00125015" w:rsidP="008D47F4">
      <w:pPr>
        <w:rPr>
          <w:color w:val="FF0000"/>
        </w:rPr>
      </w:pPr>
    </w:p>
    <w:p w14:paraId="4A9D7202" w14:textId="7B5E0A94" w:rsidR="00790359" w:rsidRDefault="00C43F2F" w:rsidP="00E70211">
      <w:pPr>
        <w:pStyle w:val="Heading3"/>
      </w:pPr>
      <w:r>
        <w:t>W</w:t>
      </w:r>
      <w:r w:rsidR="00790359">
        <w:t>alkthrough of Method Two Fiscal Close – Automatic Methods</w:t>
      </w:r>
    </w:p>
    <w:p w14:paraId="08C20A30" w14:textId="77777777" w:rsidR="00E70211" w:rsidRDefault="00E70211" w:rsidP="008D47F4"/>
    <w:p w14:paraId="39C998AF" w14:textId="36FE089E" w:rsidR="00125015" w:rsidRPr="00E70211" w:rsidRDefault="00125015" w:rsidP="008D47F4">
      <w:r w:rsidRPr="00E70211">
        <w:t>There are five tabs to work though.   Note you must complete each tab and click on Next to correctly advance</w:t>
      </w:r>
      <w:r w:rsidR="006F44E7" w:rsidRPr="00E70211">
        <w:t xml:space="preserve"> to the next Tab</w:t>
      </w:r>
      <w:r w:rsidRPr="00E70211">
        <w:t xml:space="preserve">.  Do not click on Tabs out of order.  The first three tabs are common to all Fiscal Close methods and are often done separately, as part of normal acquisitions </w:t>
      </w:r>
      <w:r w:rsidR="006F44E7" w:rsidRPr="00E70211">
        <w:t>activity</w:t>
      </w:r>
      <w:r w:rsidRPr="00E70211">
        <w:t>.</w:t>
      </w:r>
      <w:r w:rsidR="00053453" w:rsidRPr="00E70211">
        <w:t xml:space="preserve">  Make sure to wait after clicking on Next for Sierra to complete the operation when moving to the next Tab.</w:t>
      </w:r>
    </w:p>
    <w:p w14:paraId="19DB7224" w14:textId="12B67D16" w:rsidR="00125015" w:rsidRDefault="00125015" w:rsidP="008D47F4">
      <w:pPr>
        <w:rPr>
          <w:color w:val="auto"/>
        </w:rPr>
      </w:pPr>
    </w:p>
    <w:p w14:paraId="7DE97CB2" w14:textId="17BF1B19" w:rsidR="00125015" w:rsidRDefault="00125015" w:rsidP="00125015">
      <w:pPr>
        <w:pStyle w:val="Heading3"/>
      </w:pPr>
      <w:r>
        <w:t>Tab One – Posting</w:t>
      </w:r>
    </w:p>
    <w:p w14:paraId="4B7DC297" w14:textId="197F4083" w:rsidR="00125015" w:rsidRDefault="00125015" w:rsidP="00125015"/>
    <w:p w14:paraId="41DA9E6F" w14:textId="4715B42D" w:rsidR="00125015" w:rsidRDefault="00125015" w:rsidP="00125015">
      <w:r>
        <w:t xml:space="preserve">This is the normal sequence of posting that you would see under Pay an Invoice.  Sierra needs all current acquisitions activity to be completed.  </w:t>
      </w:r>
      <w:r w:rsidR="001433E9">
        <w:t>A</w:t>
      </w:r>
      <w:r>
        <w:t>ny new orders or cancelations have been accounted for along with any invoices or fund adjustments.  Once posting is completed or if Sierra replies that there is nothing to Post then click on Next.</w:t>
      </w:r>
      <w:r w:rsidR="006F44E7">
        <w:t xml:space="preserve">  The Continue and Quit options are specific to Posting.  </w:t>
      </w:r>
    </w:p>
    <w:p w14:paraId="7B9813A0" w14:textId="77777777" w:rsidR="00125015" w:rsidRPr="00125015" w:rsidRDefault="00125015" w:rsidP="00125015"/>
    <w:p w14:paraId="6F234797" w14:textId="54B26772" w:rsidR="00125015" w:rsidRDefault="00125015" w:rsidP="00125015">
      <w:pPr>
        <w:pStyle w:val="ListParagraph"/>
        <w:numPr>
          <w:ilvl w:val="0"/>
          <w:numId w:val="3"/>
        </w:numPr>
        <w:ind w:left="1260"/>
      </w:pPr>
      <w:r>
        <w:t xml:space="preserve">A message indicating unable to post due to the fund activity file being full would require you to </w:t>
      </w:r>
      <w:proofErr w:type="gramStart"/>
      <w:r>
        <w:t>quit</w:t>
      </w:r>
      <w:proofErr w:type="gramEnd"/>
      <w:r>
        <w:t xml:space="preserve"> Fiscal Close and clear the Fund Activity file.  While th</w:t>
      </w:r>
      <w:r w:rsidR="006F44E7">
        <w:t>is</w:t>
      </w:r>
      <w:r>
        <w:t xml:space="preserve"> is the next tab in Fiscal Close, you cannot jump to Tab 2 and print and clear the file and then go back to Posting.</w:t>
      </w:r>
      <w:r w:rsidR="006F44E7">
        <w:t xml:space="preserve">  Click on Funds on your Workflow dropdown to exit Fiscal Close and to proceed with printing and clearing the Fund Activity Report.  Once that is done, then reenter Fiscal Close to finish Tab One and click Next.</w:t>
      </w:r>
    </w:p>
    <w:p w14:paraId="33CC8CA6" w14:textId="77777777" w:rsidR="00A834A1" w:rsidRDefault="00A834A1" w:rsidP="00125015">
      <w:pPr>
        <w:pStyle w:val="Heading3"/>
      </w:pPr>
    </w:p>
    <w:p w14:paraId="377E5402" w14:textId="13A81F7C" w:rsidR="00125015" w:rsidRDefault="00125015" w:rsidP="00125015">
      <w:pPr>
        <w:pStyle w:val="Heading3"/>
      </w:pPr>
      <w:r>
        <w:t xml:space="preserve">Tab Two </w:t>
      </w:r>
      <w:r w:rsidR="00053453">
        <w:t>–</w:t>
      </w:r>
      <w:r>
        <w:t xml:space="preserve"> </w:t>
      </w:r>
      <w:r w:rsidR="00053453">
        <w:t>Fund Activity Report</w:t>
      </w:r>
    </w:p>
    <w:p w14:paraId="0014C19E" w14:textId="375472EF" w:rsidR="00053453" w:rsidRDefault="00053453" w:rsidP="00053453"/>
    <w:p w14:paraId="3DCA1EEE" w14:textId="47E4A36B" w:rsidR="00053453" w:rsidRDefault="00053453" w:rsidP="00053453">
      <w:r>
        <w:t>This is the normal sequence of running the Fund Activity Report and then the Print and Clear step.  The report must be cleared before you can click Next to move to Tab Three.</w:t>
      </w:r>
    </w:p>
    <w:p w14:paraId="3B59FA1B" w14:textId="042C8380" w:rsidR="00053453" w:rsidRDefault="00053453" w:rsidP="3BE4C798">
      <w:pPr>
        <w:pStyle w:val="ListParagraph"/>
        <w:numPr>
          <w:ilvl w:val="0"/>
          <w:numId w:val="3"/>
        </w:numPr>
        <w:ind w:left="1260"/>
      </w:pPr>
      <w:r>
        <w:t xml:space="preserve">A message at the bottom of the screen indicating a fund or funds out of balance must be resolved before continuing.  See </w:t>
      </w:r>
      <w:hyperlink r:id="rId16">
        <w:r w:rsidRPr="3BE4C798">
          <w:rPr>
            <w:rStyle w:val="Hyperlink"/>
          </w:rPr>
          <w:t>res</w:t>
        </w:r>
        <w:r w:rsidR="008012CF" w:rsidRPr="3BE4C798">
          <w:rPr>
            <w:rStyle w:val="Hyperlink"/>
          </w:rPr>
          <w:t>olving funds out of balance FAQ</w:t>
        </w:r>
      </w:hyperlink>
    </w:p>
    <w:p w14:paraId="05DCC2BE" w14:textId="3160198B" w:rsidR="00053453" w:rsidRPr="00E70211" w:rsidRDefault="00053453" w:rsidP="1DB08073">
      <w:pPr>
        <w:pStyle w:val="ListParagraph"/>
        <w:numPr>
          <w:ilvl w:val="0"/>
          <w:numId w:val="3"/>
        </w:numPr>
        <w:ind w:left="1260"/>
        <w:rPr>
          <w:rFonts w:eastAsia="Calibri" w:cs="Calibri"/>
          <w:szCs w:val="22"/>
        </w:rPr>
      </w:pPr>
      <w:r w:rsidRPr="00E70211">
        <w:t xml:space="preserve">Printing the fund activity report </w:t>
      </w:r>
      <w:r w:rsidR="5F5A79BB" w:rsidRPr="00E70211">
        <w:rPr>
          <w:rFonts w:eastAsia="Calibri" w:cs="Calibri"/>
          <w:szCs w:val="22"/>
        </w:rPr>
        <w:t>can be accomplished by: a. sending the report to an actual printer or b. emailing the report or c. exporting the report to a file save printer.</w:t>
      </w:r>
      <w:r w:rsidRPr="00E70211">
        <w:t xml:space="preserve">  In addition, there is the option to Export the report.  If you wish to have multiple copies, do not click the clear payment history checkbox until you have confirmed you have all desired printouts.</w:t>
      </w:r>
    </w:p>
    <w:p w14:paraId="7928F7C5" w14:textId="11DF0B3C" w:rsidR="006F44E7" w:rsidRPr="00E70211" w:rsidRDefault="006F44E7" w:rsidP="00053453">
      <w:pPr>
        <w:pStyle w:val="ListParagraph"/>
        <w:numPr>
          <w:ilvl w:val="0"/>
          <w:numId w:val="3"/>
        </w:numPr>
        <w:ind w:left="1260"/>
      </w:pPr>
      <w:r w:rsidRPr="00E70211">
        <w:t>The question about clearing the appropriation history can be left unchecked during Fiscal Close</w:t>
      </w:r>
      <w:r w:rsidR="7CA0239F" w:rsidRPr="00E70211">
        <w:t xml:space="preserve"> if your institution has opted to keep appropriation history.</w:t>
      </w:r>
    </w:p>
    <w:p w14:paraId="64C1507B" w14:textId="77777777" w:rsidR="005674AA" w:rsidRDefault="005674AA" w:rsidP="00053453">
      <w:pPr>
        <w:pStyle w:val="Heading3"/>
      </w:pPr>
    </w:p>
    <w:p w14:paraId="338974FE" w14:textId="58703C2C" w:rsidR="00053453" w:rsidRDefault="00053453" w:rsidP="00053453">
      <w:pPr>
        <w:pStyle w:val="Heading3"/>
      </w:pPr>
      <w:r>
        <w:t>Tab Three – Statistics and Reports</w:t>
      </w:r>
    </w:p>
    <w:p w14:paraId="5F200475" w14:textId="6A57EC38" w:rsidR="00053453" w:rsidRDefault="00053453" w:rsidP="00053453"/>
    <w:p w14:paraId="4A0E19E1" w14:textId="095B59B0" w:rsidR="00053453" w:rsidRPr="00E70211" w:rsidRDefault="00053453" w:rsidP="00BD59DA">
      <w:r>
        <w:t xml:space="preserve">These are the three Sierra report functions combined on to one screen.  See </w:t>
      </w:r>
      <w:hyperlink r:id="rId17">
        <w:r w:rsidRPr="3BE4C798">
          <w:rPr>
            <w:rStyle w:val="Hyperlink"/>
          </w:rPr>
          <w:t xml:space="preserve">the year end events in acquisitions </w:t>
        </w:r>
        <w:r w:rsidR="00BD59DA" w:rsidRPr="3BE4C798">
          <w:rPr>
            <w:rStyle w:val="Hyperlink"/>
          </w:rPr>
          <w:t>recorded webinar</w:t>
        </w:r>
      </w:hyperlink>
      <w:r w:rsidR="00BD59DA">
        <w:t xml:space="preserve"> </w:t>
      </w:r>
      <w:r>
        <w:t>for additional information</w:t>
      </w:r>
      <w:r w:rsidR="005674AA">
        <w:t xml:space="preserve">.  </w:t>
      </w:r>
      <w:r w:rsidR="00CF165D">
        <w:t xml:space="preserve">Note the Hierarchy reports are critical to Manual method of Fiscal Close two.  </w:t>
      </w:r>
      <w:r w:rsidR="005674AA">
        <w:t xml:space="preserve">Once you have </w:t>
      </w:r>
      <w:r w:rsidR="006F44E7">
        <w:t>all</w:t>
      </w:r>
      <w:r w:rsidR="005674AA">
        <w:t xml:space="preserve"> </w:t>
      </w:r>
      <w:r w:rsidR="006F44E7">
        <w:t xml:space="preserve">necessary </w:t>
      </w:r>
      <w:r w:rsidR="005674AA">
        <w:t>reports, click on Next.</w:t>
      </w:r>
    </w:p>
    <w:p w14:paraId="62540DBA" w14:textId="1B905A34" w:rsidR="00053453" w:rsidRDefault="00053453" w:rsidP="00053453">
      <w:pPr>
        <w:pStyle w:val="ListParagraph"/>
        <w:numPr>
          <w:ilvl w:val="0"/>
          <w:numId w:val="3"/>
        </w:numPr>
        <w:ind w:left="1260"/>
      </w:pPr>
      <w:r>
        <w:t xml:space="preserve">Sierra Statistics are often run to analyze paid orders to calculate appropriations for the new fiscal year. </w:t>
      </w:r>
      <w:r w:rsidR="005674AA">
        <w:t xml:space="preserve"> Since paid orders will remain in Sierra until they are deleted, this step can be done outside of Fiscal Close.  It can be handy however to have this information for the final step which is the optional appropriation of funds.</w:t>
      </w:r>
    </w:p>
    <w:p w14:paraId="4D9F721C" w14:textId="46FE895B" w:rsidR="00053453" w:rsidRDefault="00053453" w:rsidP="00053453">
      <w:pPr>
        <w:pStyle w:val="ListParagraph"/>
        <w:numPr>
          <w:ilvl w:val="0"/>
          <w:numId w:val="3"/>
        </w:numPr>
        <w:ind w:left="1260"/>
      </w:pPr>
      <w:r>
        <w:t>Vendor Statisti</w:t>
      </w:r>
      <w:r w:rsidR="006F44E7">
        <w:t xml:space="preserve">cs </w:t>
      </w:r>
      <w:r w:rsidR="005674AA">
        <w:t>are often run at year end as part of analysis of which vendors have been active or not active in the fiscal year and to review order fulfillment rates.  And like order statistics this report can be run separate</w:t>
      </w:r>
      <w:r w:rsidR="006F44E7">
        <w:t>ly</w:t>
      </w:r>
      <w:r w:rsidR="005674AA">
        <w:t xml:space="preserve"> from fiscal close.</w:t>
      </w:r>
    </w:p>
    <w:p w14:paraId="39292B66" w14:textId="6F73F633" w:rsidR="005674AA" w:rsidRDefault="005674AA" w:rsidP="00053453">
      <w:pPr>
        <w:pStyle w:val="ListParagraph"/>
        <w:numPr>
          <w:ilvl w:val="0"/>
          <w:numId w:val="3"/>
        </w:numPr>
        <w:ind w:left="1260"/>
      </w:pPr>
      <w:r>
        <w:lastRenderedPageBreak/>
        <w:t xml:space="preserve">Fund Hierarchy Reports – this report is used to review groups of funds with a percent spent column.  </w:t>
      </w:r>
      <w:r w:rsidR="00AF1124">
        <w:t>Again</w:t>
      </w:r>
      <w:r w:rsidR="506E94ED">
        <w:t>,</w:t>
      </w:r>
      <w:r w:rsidR="00AF1124">
        <w:t xml:space="preserve"> to gather information used for setting next year’s appropriations.</w:t>
      </w:r>
    </w:p>
    <w:p w14:paraId="46BDE7C0" w14:textId="3070DEA3" w:rsidR="005674AA" w:rsidRDefault="005674AA" w:rsidP="005674AA">
      <w:pPr>
        <w:pStyle w:val="ListParagraph"/>
        <w:numPr>
          <w:ilvl w:val="1"/>
          <w:numId w:val="3"/>
        </w:numPr>
      </w:pPr>
      <w:r>
        <w:t>Note this report can be cleared in Tab Four if the option to Copy old funds and old hierarchies is not checked.  Or information on a what was the year before you run this year’s fiscal close will be lost as Sierra keeps only one group of old funds and old hierarchies.</w:t>
      </w:r>
    </w:p>
    <w:p w14:paraId="3C420C80" w14:textId="356808A6" w:rsidR="005674AA" w:rsidRDefault="006F44E7" w:rsidP="005674AA">
      <w:pPr>
        <w:pStyle w:val="ListParagraph"/>
        <w:numPr>
          <w:ilvl w:val="1"/>
          <w:numId w:val="3"/>
        </w:numPr>
      </w:pPr>
      <w:r>
        <w:t>B</w:t>
      </w:r>
      <w:r w:rsidR="005674AA">
        <w:t>efore exiting this tab by clicking Next make sure you have any needed information on the current and the previous year hierarchy report.</w:t>
      </w:r>
    </w:p>
    <w:p w14:paraId="4EA67144" w14:textId="205AE7E0" w:rsidR="00053453" w:rsidRPr="00053453" w:rsidRDefault="00053453" w:rsidP="00053453"/>
    <w:p w14:paraId="7657F9B1" w14:textId="200A5CB9" w:rsidR="00B6692D" w:rsidRDefault="00B6692D" w:rsidP="00B6692D">
      <w:pPr>
        <w:pStyle w:val="Heading3"/>
      </w:pPr>
      <w:r>
        <w:t xml:space="preserve">Method Two – </w:t>
      </w:r>
      <w:r w:rsidR="00790359">
        <w:t>A Summary of the d</w:t>
      </w:r>
      <w:r>
        <w:t>ifferences between versions</w:t>
      </w:r>
    </w:p>
    <w:p w14:paraId="24CDFFA3" w14:textId="0DD4D321" w:rsidR="00B6692D" w:rsidRDefault="00B6692D" w:rsidP="00B6692D"/>
    <w:p w14:paraId="38B45455" w14:textId="0BBF062B" w:rsidR="00B6692D" w:rsidRPr="00B6692D" w:rsidRDefault="00B6692D" w:rsidP="00B6692D">
      <w:r>
        <w:t xml:space="preserve">Method two has </w:t>
      </w:r>
      <w:r w:rsidR="00CF165D">
        <w:t>three</w:t>
      </w:r>
      <w:r>
        <w:t xml:space="preserve"> different options that essentially deal with how the starting appropriation for ‘new’ set of funds should be calculated.  By ‘new’ these are the funds that were created to move the remaining open orders to at fiscal year-end.  The “previous year funds”.  </w:t>
      </w:r>
    </w:p>
    <w:p w14:paraId="229D6702" w14:textId="3BDC3B9E" w:rsidR="00B6692D" w:rsidRDefault="00B6692D" w:rsidP="00B6692D">
      <w:pPr>
        <w:pStyle w:val="ListParagraph"/>
        <w:numPr>
          <w:ilvl w:val="0"/>
          <w:numId w:val="3"/>
        </w:numPr>
        <w:ind w:left="1260"/>
      </w:pPr>
      <w:r>
        <w:t>Automatic/Copy – with this method you are starting the new fiscal year with your previous year funds reflecting what it looked like at the beginning of the year.  The appropriation and the expenditure totals are copied to your previous year fund.</w:t>
      </w:r>
    </w:p>
    <w:p w14:paraId="0AE7EDB3" w14:textId="6141295F" w:rsidR="006F752E" w:rsidRDefault="006F752E" w:rsidP="006F752E"/>
    <w:p w14:paraId="546659BF" w14:textId="5325BEF1" w:rsidR="006F752E" w:rsidRDefault="006F752E" w:rsidP="006F752E">
      <w:r>
        <w:t>Prior to Fiscal Close</w:t>
      </w:r>
    </w:p>
    <w:tbl>
      <w:tblPr>
        <w:tblStyle w:val="TableGrid"/>
        <w:tblW w:w="0" w:type="auto"/>
        <w:tblInd w:w="432" w:type="dxa"/>
        <w:tblLook w:val="04A0" w:firstRow="1" w:lastRow="0" w:firstColumn="1" w:lastColumn="0" w:noHBand="0" w:noVBand="1"/>
        <w:tblCaption w:val="Funds Prior to fiscal close"/>
        <w:tblDescription w:val="Table "/>
      </w:tblPr>
      <w:tblGrid>
        <w:gridCol w:w="2365"/>
        <w:gridCol w:w="2094"/>
        <w:gridCol w:w="2094"/>
        <w:gridCol w:w="2365"/>
      </w:tblGrid>
      <w:tr w:rsidR="006F752E" w14:paraId="3C59C3EC" w14:textId="77777777" w:rsidTr="006F752E">
        <w:tc>
          <w:tcPr>
            <w:tcW w:w="2365" w:type="dxa"/>
            <w:shd w:val="clear" w:color="auto" w:fill="FAA21B"/>
          </w:tcPr>
          <w:p w14:paraId="241BA1BF" w14:textId="2FFA81F1" w:rsidR="006F752E" w:rsidRPr="00622CF6" w:rsidRDefault="006F752E" w:rsidP="007724C6">
            <w:pPr>
              <w:ind w:left="0"/>
              <w:jc w:val="center"/>
              <w:rPr>
                <w:b/>
                <w:bCs/>
                <w:szCs w:val="22"/>
              </w:rPr>
            </w:pPr>
            <w:bookmarkStart w:id="0" w:name="_Hlk48575622"/>
            <w:r w:rsidRPr="00A834A1">
              <w:rPr>
                <w:b/>
                <w:bCs/>
                <w:color w:val="auto"/>
                <w:szCs w:val="22"/>
              </w:rPr>
              <w:t>Fund Code</w:t>
            </w:r>
          </w:p>
        </w:tc>
        <w:tc>
          <w:tcPr>
            <w:tcW w:w="2094" w:type="dxa"/>
            <w:shd w:val="clear" w:color="auto" w:fill="FAA21B"/>
          </w:tcPr>
          <w:p w14:paraId="07B27746" w14:textId="42B9A632" w:rsidR="006F752E" w:rsidRPr="00622CF6" w:rsidRDefault="006F752E" w:rsidP="007724C6">
            <w:pPr>
              <w:ind w:left="0"/>
              <w:jc w:val="center"/>
              <w:rPr>
                <w:b/>
                <w:bCs/>
                <w:szCs w:val="22"/>
              </w:rPr>
            </w:pPr>
            <w:r w:rsidRPr="00A834A1">
              <w:rPr>
                <w:b/>
                <w:bCs/>
                <w:color w:val="auto"/>
                <w:szCs w:val="22"/>
              </w:rPr>
              <w:t>Appropriation</w:t>
            </w:r>
          </w:p>
        </w:tc>
        <w:tc>
          <w:tcPr>
            <w:tcW w:w="2094" w:type="dxa"/>
            <w:shd w:val="clear" w:color="auto" w:fill="FAA21B"/>
          </w:tcPr>
          <w:p w14:paraId="5A5EE7D9" w14:textId="338B6D2D" w:rsidR="006F752E" w:rsidRPr="00622CF6" w:rsidRDefault="006F752E" w:rsidP="007724C6">
            <w:pPr>
              <w:ind w:left="0"/>
              <w:jc w:val="center"/>
              <w:rPr>
                <w:b/>
                <w:bCs/>
                <w:szCs w:val="22"/>
              </w:rPr>
            </w:pPr>
            <w:r w:rsidRPr="00A834A1">
              <w:rPr>
                <w:b/>
                <w:bCs/>
                <w:color w:val="auto"/>
                <w:szCs w:val="22"/>
              </w:rPr>
              <w:t>Expenditure</w:t>
            </w:r>
          </w:p>
        </w:tc>
        <w:tc>
          <w:tcPr>
            <w:tcW w:w="2365" w:type="dxa"/>
            <w:shd w:val="clear" w:color="auto" w:fill="FAA21B"/>
          </w:tcPr>
          <w:p w14:paraId="7D40DC8B" w14:textId="594F7AD0" w:rsidR="006F752E" w:rsidRDefault="006F752E" w:rsidP="007724C6">
            <w:pPr>
              <w:ind w:left="0"/>
              <w:jc w:val="center"/>
            </w:pPr>
            <w:r w:rsidRPr="00A834A1">
              <w:rPr>
                <w:b/>
                <w:bCs/>
                <w:color w:val="auto"/>
                <w:szCs w:val="22"/>
              </w:rPr>
              <w:t>Encumbrance</w:t>
            </w:r>
          </w:p>
        </w:tc>
      </w:tr>
      <w:tr w:rsidR="006F752E" w14:paraId="5D9F731B" w14:textId="77777777" w:rsidTr="006F752E">
        <w:tc>
          <w:tcPr>
            <w:tcW w:w="2365" w:type="dxa"/>
          </w:tcPr>
          <w:p w14:paraId="5ABDFF49" w14:textId="3353EEB9" w:rsidR="006F752E" w:rsidRDefault="006F752E" w:rsidP="007724C6">
            <w:pPr>
              <w:ind w:left="0"/>
            </w:pPr>
            <w:proofErr w:type="spellStart"/>
            <w:r>
              <w:t>Adultbks</w:t>
            </w:r>
            <w:proofErr w:type="spellEnd"/>
          </w:p>
        </w:tc>
        <w:tc>
          <w:tcPr>
            <w:tcW w:w="2094" w:type="dxa"/>
          </w:tcPr>
          <w:p w14:paraId="77D0AACE" w14:textId="42CD5B21" w:rsidR="006F752E" w:rsidRDefault="006F752E" w:rsidP="007724C6">
            <w:pPr>
              <w:ind w:left="0"/>
            </w:pPr>
            <w:r>
              <w:t>$10,000</w:t>
            </w:r>
          </w:p>
        </w:tc>
        <w:tc>
          <w:tcPr>
            <w:tcW w:w="2094" w:type="dxa"/>
          </w:tcPr>
          <w:p w14:paraId="13FD64A9" w14:textId="173BE70B" w:rsidR="006F752E" w:rsidRDefault="006F752E" w:rsidP="007724C6">
            <w:pPr>
              <w:ind w:left="0"/>
            </w:pPr>
            <w:r>
              <w:t>$1,000</w:t>
            </w:r>
          </w:p>
        </w:tc>
        <w:tc>
          <w:tcPr>
            <w:tcW w:w="2365" w:type="dxa"/>
          </w:tcPr>
          <w:p w14:paraId="44612399" w14:textId="02C531D2" w:rsidR="006F752E" w:rsidRDefault="006F752E" w:rsidP="007724C6">
            <w:pPr>
              <w:ind w:left="0"/>
            </w:pPr>
            <w:r>
              <w:t>$100</w:t>
            </w:r>
          </w:p>
        </w:tc>
      </w:tr>
      <w:tr w:rsidR="006F752E" w14:paraId="7608F039" w14:textId="77777777" w:rsidTr="006F752E">
        <w:tc>
          <w:tcPr>
            <w:tcW w:w="2365" w:type="dxa"/>
          </w:tcPr>
          <w:p w14:paraId="490FBA6F" w14:textId="56BD6E96" w:rsidR="006F752E" w:rsidRDefault="006F752E" w:rsidP="007724C6">
            <w:pPr>
              <w:ind w:left="0"/>
            </w:pPr>
            <w:proofErr w:type="spellStart"/>
            <w:r>
              <w:t>Prevadultbks</w:t>
            </w:r>
            <w:proofErr w:type="spellEnd"/>
          </w:p>
        </w:tc>
        <w:tc>
          <w:tcPr>
            <w:tcW w:w="2094" w:type="dxa"/>
          </w:tcPr>
          <w:p w14:paraId="7441A4DC" w14:textId="32C019E6" w:rsidR="006F752E" w:rsidRDefault="006F752E" w:rsidP="007724C6">
            <w:pPr>
              <w:ind w:left="0"/>
            </w:pPr>
            <w:r>
              <w:t>$0.00</w:t>
            </w:r>
          </w:p>
        </w:tc>
        <w:tc>
          <w:tcPr>
            <w:tcW w:w="2094" w:type="dxa"/>
          </w:tcPr>
          <w:p w14:paraId="7EEBE032" w14:textId="591B1C3A" w:rsidR="006F752E" w:rsidRDefault="006F752E" w:rsidP="007724C6">
            <w:pPr>
              <w:ind w:left="0"/>
            </w:pPr>
            <w:r>
              <w:t>$0.00</w:t>
            </w:r>
          </w:p>
        </w:tc>
        <w:tc>
          <w:tcPr>
            <w:tcW w:w="2365" w:type="dxa"/>
          </w:tcPr>
          <w:p w14:paraId="160FC518" w14:textId="06D80ABC" w:rsidR="006F752E" w:rsidRDefault="006F752E" w:rsidP="007724C6">
            <w:pPr>
              <w:ind w:left="0"/>
            </w:pPr>
            <w:r>
              <w:t>$0.00</w:t>
            </w:r>
          </w:p>
        </w:tc>
      </w:tr>
      <w:bookmarkEnd w:id="0"/>
    </w:tbl>
    <w:p w14:paraId="79657E86" w14:textId="77777777" w:rsidR="006F752E" w:rsidRDefault="006F752E" w:rsidP="006F752E"/>
    <w:p w14:paraId="5E8EBD53" w14:textId="38D25DCE" w:rsidR="006F752E" w:rsidRDefault="006F752E" w:rsidP="006F752E">
      <w:r>
        <w:t>After Fiscal Close</w:t>
      </w:r>
    </w:p>
    <w:tbl>
      <w:tblPr>
        <w:tblStyle w:val="TableGrid"/>
        <w:tblW w:w="0" w:type="auto"/>
        <w:tblInd w:w="432" w:type="dxa"/>
        <w:tblLook w:val="04A0" w:firstRow="1" w:lastRow="0" w:firstColumn="1" w:lastColumn="0" w:noHBand="0" w:noVBand="1"/>
        <w:tblCaption w:val="Funds after fiscal close"/>
        <w:tblDescription w:val="Table "/>
      </w:tblPr>
      <w:tblGrid>
        <w:gridCol w:w="2365"/>
        <w:gridCol w:w="2094"/>
        <w:gridCol w:w="2094"/>
        <w:gridCol w:w="2365"/>
      </w:tblGrid>
      <w:tr w:rsidR="006F752E" w14:paraId="0B731ECA" w14:textId="77777777" w:rsidTr="007724C6">
        <w:tc>
          <w:tcPr>
            <w:tcW w:w="2365" w:type="dxa"/>
            <w:shd w:val="clear" w:color="auto" w:fill="FAA21B"/>
          </w:tcPr>
          <w:p w14:paraId="2E294407" w14:textId="77777777" w:rsidR="006F752E" w:rsidRPr="00622CF6" w:rsidRDefault="006F752E" w:rsidP="007724C6">
            <w:pPr>
              <w:ind w:left="0"/>
              <w:jc w:val="center"/>
              <w:rPr>
                <w:b/>
                <w:bCs/>
                <w:szCs w:val="22"/>
              </w:rPr>
            </w:pPr>
            <w:r w:rsidRPr="00A834A1">
              <w:rPr>
                <w:b/>
                <w:bCs/>
                <w:color w:val="auto"/>
                <w:szCs w:val="22"/>
              </w:rPr>
              <w:t>Fund Code</w:t>
            </w:r>
          </w:p>
        </w:tc>
        <w:tc>
          <w:tcPr>
            <w:tcW w:w="2094" w:type="dxa"/>
            <w:shd w:val="clear" w:color="auto" w:fill="FAA21B"/>
          </w:tcPr>
          <w:p w14:paraId="00239AB0" w14:textId="77777777" w:rsidR="006F752E" w:rsidRPr="00622CF6" w:rsidRDefault="006F752E" w:rsidP="007724C6">
            <w:pPr>
              <w:ind w:left="0"/>
              <w:jc w:val="center"/>
              <w:rPr>
                <w:b/>
                <w:bCs/>
                <w:szCs w:val="22"/>
              </w:rPr>
            </w:pPr>
            <w:r w:rsidRPr="00A834A1">
              <w:rPr>
                <w:b/>
                <w:bCs/>
                <w:color w:val="auto"/>
                <w:szCs w:val="22"/>
              </w:rPr>
              <w:t>Appropriation</w:t>
            </w:r>
          </w:p>
        </w:tc>
        <w:tc>
          <w:tcPr>
            <w:tcW w:w="2094" w:type="dxa"/>
            <w:shd w:val="clear" w:color="auto" w:fill="FAA21B"/>
          </w:tcPr>
          <w:p w14:paraId="70F1F2C1" w14:textId="77777777" w:rsidR="006F752E" w:rsidRPr="00622CF6" w:rsidRDefault="006F752E" w:rsidP="007724C6">
            <w:pPr>
              <w:ind w:left="0"/>
              <w:jc w:val="center"/>
              <w:rPr>
                <w:b/>
                <w:bCs/>
                <w:szCs w:val="22"/>
              </w:rPr>
            </w:pPr>
            <w:r w:rsidRPr="00A834A1">
              <w:rPr>
                <w:b/>
                <w:bCs/>
                <w:color w:val="auto"/>
                <w:szCs w:val="22"/>
              </w:rPr>
              <w:t>Expenditure</w:t>
            </w:r>
          </w:p>
        </w:tc>
        <w:tc>
          <w:tcPr>
            <w:tcW w:w="2365" w:type="dxa"/>
            <w:shd w:val="clear" w:color="auto" w:fill="FAA21B"/>
          </w:tcPr>
          <w:p w14:paraId="0CFAC563" w14:textId="77777777" w:rsidR="006F752E" w:rsidRDefault="006F752E" w:rsidP="007724C6">
            <w:pPr>
              <w:ind w:left="0"/>
              <w:jc w:val="center"/>
            </w:pPr>
            <w:r w:rsidRPr="00A834A1">
              <w:rPr>
                <w:b/>
                <w:bCs/>
                <w:color w:val="auto"/>
                <w:szCs w:val="22"/>
              </w:rPr>
              <w:t>Encumbrance</w:t>
            </w:r>
          </w:p>
        </w:tc>
      </w:tr>
      <w:tr w:rsidR="006F752E" w14:paraId="0F4F9432" w14:textId="77777777" w:rsidTr="007724C6">
        <w:tc>
          <w:tcPr>
            <w:tcW w:w="2365" w:type="dxa"/>
          </w:tcPr>
          <w:p w14:paraId="5A70EB38" w14:textId="77777777" w:rsidR="006F752E" w:rsidRDefault="006F752E" w:rsidP="007724C6">
            <w:pPr>
              <w:ind w:left="0"/>
            </w:pPr>
            <w:proofErr w:type="spellStart"/>
            <w:r>
              <w:t>Adultbks</w:t>
            </w:r>
            <w:proofErr w:type="spellEnd"/>
          </w:p>
        </w:tc>
        <w:tc>
          <w:tcPr>
            <w:tcW w:w="2094" w:type="dxa"/>
          </w:tcPr>
          <w:p w14:paraId="38FCBA41" w14:textId="4E377E67" w:rsidR="006F752E" w:rsidRDefault="006F752E" w:rsidP="007724C6">
            <w:pPr>
              <w:ind w:left="0"/>
            </w:pPr>
            <w:r>
              <w:t>$0.00</w:t>
            </w:r>
          </w:p>
        </w:tc>
        <w:tc>
          <w:tcPr>
            <w:tcW w:w="2094" w:type="dxa"/>
          </w:tcPr>
          <w:p w14:paraId="52823391" w14:textId="602AB5AE" w:rsidR="006F752E" w:rsidRDefault="006F752E" w:rsidP="007724C6">
            <w:pPr>
              <w:ind w:left="0"/>
            </w:pPr>
            <w:r>
              <w:t>$0.00</w:t>
            </w:r>
          </w:p>
        </w:tc>
        <w:tc>
          <w:tcPr>
            <w:tcW w:w="2365" w:type="dxa"/>
          </w:tcPr>
          <w:p w14:paraId="6801275A" w14:textId="65BEBA4A" w:rsidR="006F752E" w:rsidRDefault="006F752E" w:rsidP="007724C6">
            <w:pPr>
              <w:ind w:left="0"/>
            </w:pPr>
            <w:r>
              <w:t>$0.00</w:t>
            </w:r>
          </w:p>
        </w:tc>
      </w:tr>
      <w:tr w:rsidR="006F752E" w14:paraId="09396453" w14:textId="77777777" w:rsidTr="007724C6">
        <w:tc>
          <w:tcPr>
            <w:tcW w:w="2365" w:type="dxa"/>
          </w:tcPr>
          <w:p w14:paraId="7AF4F63C" w14:textId="77777777" w:rsidR="006F752E" w:rsidRDefault="006F752E" w:rsidP="007724C6">
            <w:pPr>
              <w:ind w:left="0"/>
            </w:pPr>
            <w:proofErr w:type="spellStart"/>
            <w:r>
              <w:t>Prevadultbks</w:t>
            </w:r>
            <w:proofErr w:type="spellEnd"/>
          </w:p>
        </w:tc>
        <w:tc>
          <w:tcPr>
            <w:tcW w:w="2094" w:type="dxa"/>
          </w:tcPr>
          <w:p w14:paraId="22976538" w14:textId="04805BD5" w:rsidR="006F752E" w:rsidRDefault="006F752E" w:rsidP="007724C6">
            <w:pPr>
              <w:ind w:left="0"/>
            </w:pPr>
            <w:r>
              <w:t>$10,000.00</w:t>
            </w:r>
          </w:p>
        </w:tc>
        <w:tc>
          <w:tcPr>
            <w:tcW w:w="2094" w:type="dxa"/>
          </w:tcPr>
          <w:p w14:paraId="2512CDEB" w14:textId="67CAA20E" w:rsidR="006F752E" w:rsidRDefault="006F752E" w:rsidP="007724C6">
            <w:pPr>
              <w:ind w:left="0"/>
            </w:pPr>
            <w:r>
              <w:t>$1,000</w:t>
            </w:r>
          </w:p>
        </w:tc>
        <w:tc>
          <w:tcPr>
            <w:tcW w:w="2365" w:type="dxa"/>
          </w:tcPr>
          <w:p w14:paraId="5D72692A" w14:textId="3479C451" w:rsidR="006F752E" w:rsidRDefault="006F752E" w:rsidP="007724C6">
            <w:pPr>
              <w:ind w:left="0"/>
            </w:pPr>
            <w:r>
              <w:t>$100</w:t>
            </w:r>
          </w:p>
        </w:tc>
      </w:tr>
    </w:tbl>
    <w:p w14:paraId="5C12BF35" w14:textId="563E428C" w:rsidR="006F752E" w:rsidRDefault="006F752E" w:rsidP="006F752E"/>
    <w:p w14:paraId="5EA9C303" w14:textId="10105BF1" w:rsidR="00B6692D" w:rsidRDefault="00B6692D" w:rsidP="00B6692D">
      <w:pPr>
        <w:pStyle w:val="ListParagraph"/>
        <w:numPr>
          <w:ilvl w:val="0"/>
          <w:numId w:val="3"/>
        </w:numPr>
        <w:ind w:left="1260"/>
      </w:pPr>
      <w:r>
        <w:t xml:space="preserve">Automatic/Transfer – with this setting, the difference is Sierra will do the math to subtract the year-end expenditures from the Appropriation.  </w:t>
      </w:r>
      <w:r w:rsidR="006F752E">
        <w:t>Thus,</w:t>
      </w:r>
      <w:r>
        <w:t xml:space="preserve"> your previous year fund starting appropriation </w:t>
      </w:r>
      <w:r w:rsidR="00CF165D">
        <w:t>will be your original appropriation minus your expenditures for the year.</w:t>
      </w:r>
    </w:p>
    <w:p w14:paraId="1DAF7647" w14:textId="77777777" w:rsidR="006F752E" w:rsidRDefault="006F752E" w:rsidP="3BE4C798">
      <w:pPr>
        <w:ind w:left="540"/>
        <w:rPr>
          <w:szCs w:val="22"/>
        </w:rPr>
      </w:pPr>
    </w:p>
    <w:tbl>
      <w:tblPr>
        <w:tblStyle w:val="TableGrid"/>
        <w:tblW w:w="0" w:type="auto"/>
        <w:tblInd w:w="432" w:type="dxa"/>
        <w:tblLook w:val="04A0" w:firstRow="1" w:lastRow="0" w:firstColumn="1" w:lastColumn="0" w:noHBand="0" w:noVBand="1"/>
        <w:tblCaption w:val="automatic transfer previous year fund"/>
        <w:tblDescription w:val="Table "/>
      </w:tblPr>
      <w:tblGrid>
        <w:gridCol w:w="2365"/>
        <w:gridCol w:w="2094"/>
        <w:gridCol w:w="2094"/>
        <w:gridCol w:w="2365"/>
      </w:tblGrid>
      <w:tr w:rsidR="006F752E" w14:paraId="4A639906" w14:textId="77777777" w:rsidTr="007724C6">
        <w:tc>
          <w:tcPr>
            <w:tcW w:w="2365" w:type="dxa"/>
            <w:shd w:val="clear" w:color="auto" w:fill="FAA21B"/>
          </w:tcPr>
          <w:p w14:paraId="7885D672" w14:textId="77777777" w:rsidR="006F752E" w:rsidRPr="00622CF6" w:rsidRDefault="006F752E" w:rsidP="007724C6">
            <w:pPr>
              <w:ind w:left="0"/>
              <w:jc w:val="center"/>
              <w:rPr>
                <w:b/>
                <w:bCs/>
                <w:szCs w:val="22"/>
              </w:rPr>
            </w:pPr>
            <w:r w:rsidRPr="00A834A1">
              <w:rPr>
                <w:b/>
                <w:bCs/>
                <w:color w:val="auto"/>
                <w:szCs w:val="22"/>
              </w:rPr>
              <w:t>Fund Code</w:t>
            </w:r>
          </w:p>
        </w:tc>
        <w:tc>
          <w:tcPr>
            <w:tcW w:w="2094" w:type="dxa"/>
            <w:shd w:val="clear" w:color="auto" w:fill="FAA21B"/>
          </w:tcPr>
          <w:p w14:paraId="4180D1E5" w14:textId="77777777" w:rsidR="006F752E" w:rsidRPr="00622CF6" w:rsidRDefault="006F752E" w:rsidP="007724C6">
            <w:pPr>
              <w:ind w:left="0"/>
              <w:jc w:val="center"/>
              <w:rPr>
                <w:b/>
                <w:bCs/>
                <w:szCs w:val="22"/>
              </w:rPr>
            </w:pPr>
            <w:r w:rsidRPr="00A834A1">
              <w:rPr>
                <w:b/>
                <w:bCs/>
                <w:color w:val="auto"/>
                <w:szCs w:val="22"/>
              </w:rPr>
              <w:t>Appropriation</w:t>
            </w:r>
          </w:p>
        </w:tc>
        <w:tc>
          <w:tcPr>
            <w:tcW w:w="2094" w:type="dxa"/>
            <w:shd w:val="clear" w:color="auto" w:fill="FAA21B"/>
          </w:tcPr>
          <w:p w14:paraId="0601090C" w14:textId="77777777" w:rsidR="006F752E" w:rsidRPr="00622CF6" w:rsidRDefault="006F752E" w:rsidP="007724C6">
            <w:pPr>
              <w:ind w:left="0"/>
              <w:jc w:val="center"/>
              <w:rPr>
                <w:b/>
                <w:bCs/>
                <w:szCs w:val="22"/>
              </w:rPr>
            </w:pPr>
            <w:r w:rsidRPr="00A834A1">
              <w:rPr>
                <w:b/>
                <w:bCs/>
                <w:color w:val="auto"/>
                <w:szCs w:val="22"/>
              </w:rPr>
              <w:t>Expenditure</w:t>
            </w:r>
          </w:p>
        </w:tc>
        <w:tc>
          <w:tcPr>
            <w:tcW w:w="2365" w:type="dxa"/>
            <w:shd w:val="clear" w:color="auto" w:fill="FAA21B"/>
          </w:tcPr>
          <w:p w14:paraId="70C4D671" w14:textId="77777777" w:rsidR="006F752E" w:rsidRDefault="006F752E" w:rsidP="007724C6">
            <w:pPr>
              <w:ind w:left="0"/>
              <w:jc w:val="center"/>
            </w:pPr>
            <w:r w:rsidRPr="00A834A1">
              <w:rPr>
                <w:b/>
                <w:bCs/>
                <w:color w:val="auto"/>
                <w:szCs w:val="22"/>
              </w:rPr>
              <w:t>Encumbrance</w:t>
            </w:r>
          </w:p>
        </w:tc>
      </w:tr>
      <w:tr w:rsidR="006F752E" w14:paraId="5CD35CF5" w14:textId="77777777" w:rsidTr="007724C6">
        <w:tc>
          <w:tcPr>
            <w:tcW w:w="2365" w:type="dxa"/>
          </w:tcPr>
          <w:p w14:paraId="69F24B47" w14:textId="77777777" w:rsidR="006F752E" w:rsidRDefault="006F752E" w:rsidP="007724C6">
            <w:pPr>
              <w:ind w:left="0"/>
            </w:pPr>
            <w:proofErr w:type="spellStart"/>
            <w:r>
              <w:t>Adultbks</w:t>
            </w:r>
            <w:proofErr w:type="spellEnd"/>
          </w:p>
        </w:tc>
        <w:tc>
          <w:tcPr>
            <w:tcW w:w="2094" w:type="dxa"/>
          </w:tcPr>
          <w:p w14:paraId="0F3EC34E" w14:textId="77777777" w:rsidR="006F752E" w:rsidRDefault="006F752E" w:rsidP="007724C6">
            <w:pPr>
              <w:ind w:left="0"/>
            </w:pPr>
            <w:r>
              <w:t>$10,000</w:t>
            </w:r>
          </w:p>
        </w:tc>
        <w:tc>
          <w:tcPr>
            <w:tcW w:w="2094" w:type="dxa"/>
          </w:tcPr>
          <w:p w14:paraId="75D73903" w14:textId="77777777" w:rsidR="006F752E" w:rsidRDefault="006F752E" w:rsidP="007724C6">
            <w:pPr>
              <w:ind w:left="0"/>
            </w:pPr>
            <w:r>
              <w:t>$1,000</w:t>
            </w:r>
          </w:p>
        </w:tc>
        <w:tc>
          <w:tcPr>
            <w:tcW w:w="2365" w:type="dxa"/>
          </w:tcPr>
          <w:p w14:paraId="5CB31256" w14:textId="77777777" w:rsidR="006F752E" w:rsidRDefault="006F752E" w:rsidP="007724C6">
            <w:pPr>
              <w:ind w:left="0"/>
            </w:pPr>
            <w:r>
              <w:t>$100</w:t>
            </w:r>
          </w:p>
        </w:tc>
      </w:tr>
      <w:tr w:rsidR="006F752E" w14:paraId="2F128021" w14:textId="77777777" w:rsidTr="007724C6">
        <w:tc>
          <w:tcPr>
            <w:tcW w:w="2365" w:type="dxa"/>
          </w:tcPr>
          <w:p w14:paraId="33A21C8A" w14:textId="77777777" w:rsidR="006F752E" w:rsidRDefault="006F752E" w:rsidP="007724C6">
            <w:pPr>
              <w:ind w:left="0"/>
            </w:pPr>
            <w:proofErr w:type="spellStart"/>
            <w:r>
              <w:t>Prevadultbks</w:t>
            </w:r>
            <w:proofErr w:type="spellEnd"/>
          </w:p>
        </w:tc>
        <w:tc>
          <w:tcPr>
            <w:tcW w:w="2094" w:type="dxa"/>
          </w:tcPr>
          <w:p w14:paraId="6D2DA56F" w14:textId="77777777" w:rsidR="006F752E" w:rsidRDefault="006F752E" w:rsidP="007724C6">
            <w:pPr>
              <w:ind w:left="0"/>
            </w:pPr>
            <w:r>
              <w:t>$0.00</w:t>
            </w:r>
          </w:p>
        </w:tc>
        <w:tc>
          <w:tcPr>
            <w:tcW w:w="2094" w:type="dxa"/>
          </w:tcPr>
          <w:p w14:paraId="0B308239" w14:textId="77777777" w:rsidR="006F752E" w:rsidRDefault="006F752E" w:rsidP="007724C6">
            <w:pPr>
              <w:ind w:left="0"/>
            </w:pPr>
            <w:r>
              <w:t>$0.00</w:t>
            </w:r>
          </w:p>
        </w:tc>
        <w:tc>
          <w:tcPr>
            <w:tcW w:w="2365" w:type="dxa"/>
          </w:tcPr>
          <w:p w14:paraId="5F007196" w14:textId="77777777" w:rsidR="006F752E" w:rsidRDefault="006F752E" w:rsidP="007724C6">
            <w:pPr>
              <w:ind w:left="0"/>
            </w:pPr>
            <w:r>
              <w:t>$0.00</w:t>
            </w:r>
          </w:p>
        </w:tc>
      </w:tr>
    </w:tbl>
    <w:p w14:paraId="2815FB66" w14:textId="2A0F429D" w:rsidR="006F752E" w:rsidRDefault="006F752E" w:rsidP="006F752E"/>
    <w:p w14:paraId="267B5D59" w14:textId="6F5943A7" w:rsidR="006F752E" w:rsidRDefault="006F752E" w:rsidP="006F752E">
      <w:r>
        <w:t>After Fiscal Close</w:t>
      </w:r>
    </w:p>
    <w:tbl>
      <w:tblPr>
        <w:tblStyle w:val="TableGrid"/>
        <w:tblW w:w="0" w:type="auto"/>
        <w:tblInd w:w="432" w:type="dxa"/>
        <w:tblLook w:val="04A0" w:firstRow="1" w:lastRow="0" w:firstColumn="1" w:lastColumn="0" w:noHBand="0" w:noVBand="1"/>
        <w:tblCaption w:val="Automatic transfer - after fiscal close"/>
      </w:tblPr>
      <w:tblGrid>
        <w:gridCol w:w="2365"/>
        <w:gridCol w:w="2094"/>
        <w:gridCol w:w="2094"/>
        <w:gridCol w:w="2365"/>
      </w:tblGrid>
      <w:tr w:rsidR="006F752E" w14:paraId="052B6FBF" w14:textId="77777777" w:rsidTr="007724C6">
        <w:tc>
          <w:tcPr>
            <w:tcW w:w="2365" w:type="dxa"/>
            <w:shd w:val="clear" w:color="auto" w:fill="FAA21B"/>
          </w:tcPr>
          <w:p w14:paraId="1D958013" w14:textId="77777777" w:rsidR="006F752E" w:rsidRPr="00622CF6" w:rsidRDefault="006F752E" w:rsidP="007724C6">
            <w:pPr>
              <w:ind w:left="0"/>
              <w:jc w:val="center"/>
              <w:rPr>
                <w:b/>
                <w:bCs/>
                <w:szCs w:val="22"/>
              </w:rPr>
            </w:pPr>
            <w:r w:rsidRPr="00A834A1">
              <w:rPr>
                <w:b/>
                <w:bCs/>
                <w:color w:val="auto"/>
                <w:szCs w:val="22"/>
              </w:rPr>
              <w:t>Fund Code</w:t>
            </w:r>
          </w:p>
        </w:tc>
        <w:tc>
          <w:tcPr>
            <w:tcW w:w="2094" w:type="dxa"/>
            <w:shd w:val="clear" w:color="auto" w:fill="FAA21B"/>
          </w:tcPr>
          <w:p w14:paraId="0B5F2362" w14:textId="77777777" w:rsidR="006F752E" w:rsidRPr="00622CF6" w:rsidRDefault="006F752E" w:rsidP="007724C6">
            <w:pPr>
              <w:ind w:left="0"/>
              <w:jc w:val="center"/>
              <w:rPr>
                <w:b/>
                <w:bCs/>
                <w:szCs w:val="22"/>
              </w:rPr>
            </w:pPr>
            <w:r w:rsidRPr="00A834A1">
              <w:rPr>
                <w:b/>
                <w:bCs/>
                <w:color w:val="auto"/>
                <w:szCs w:val="22"/>
              </w:rPr>
              <w:t>Appropriation</w:t>
            </w:r>
          </w:p>
        </w:tc>
        <w:tc>
          <w:tcPr>
            <w:tcW w:w="2094" w:type="dxa"/>
            <w:shd w:val="clear" w:color="auto" w:fill="FAA21B"/>
          </w:tcPr>
          <w:p w14:paraId="5BDD2F35" w14:textId="77777777" w:rsidR="006F752E" w:rsidRPr="00622CF6" w:rsidRDefault="006F752E" w:rsidP="007724C6">
            <w:pPr>
              <w:ind w:left="0"/>
              <w:jc w:val="center"/>
              <w:rPr>
                <w:b/>
                <w:bCs/>
                <w:szCs w:val="22"/>
              </w:rPr>
            </w:pPr>
            <w:r w:rsidRPr="00A834A1">
              <w:rPr>
                <w:b/>
                <w:bCs/>
                <w:color w:val="auto"/>
                <w:szCs w:val="22"/>
              </w:rPr>
              <w:t>Expenditure</w:t>
            </w:r>
          </w:p>
        </w:tc>
        <w:tc>
          <w:tcPr>
            <w:tcW w:w="2365" w:type="dxa"/>
            <w:shd w:val="clear" w:color="auto" w:fill="FAA21B"/>
          </w:tcPr>
          <w:p w14:paraId="4F68DE78" w14:textId="77777777" w:rsidR="006F752E" w:rsidRDefault="006F752E" w:rsidP="007724C6">
            <w:pPr>
              <w:ind w:left="0"/>
              <w:jc w:val="center"/>
            </w:pPr>
            <w:r w:rsidRPr="00A834A1">
              <w:rPr>
                <w:b/>
                <w:bCs/>
                <w:color w:val="auto"/>
                <w:szCs w:val="22"/>
              </w:rPr>
              <w:t>Encumbrance</w:t>
            </w:r>
          </w:p>
        </w:tc>
      </w:tr>
      <w:tr w:rsidR="006F752E" w14:paraId="79AA6340" w14:textId="77777777" w:rsidTr="007724C6">
        <w:tc>
          <w:tcPr>
            <w:tcW w:w="2365" w:type="dxa"/>
          </w:tcPr>
          <w:p w14:paraId="6E6AB72B" w14:textId="77777777" w:rsidR="006F752E" w:rsidRDefault="006F752E" w:rsidP="007724C6">
            <w:pPr>
              <w:ind w:left="0"/>
            </w:pPr>
            <w:proofErr w:type="spellStart"/>
            <w:r>
              <w:t>Adultbks</w:t>
            </w:r>
            <w:proofErr w:type="spellEnd"/>
          </w:p>
        </w:tc>
        <w:tc>
          <w:tcPr>
            <w:tcW w:w="2094" w:type="dxa"/>
          </w:tcPr>
          <w:p w14:paraId="0F01E316" w14:textId="2381734A" w:rsidR="006F752E" w:rsidRDefault="006F752E" w:rsidP="007724C6">
            <w:pPr>
              <w:ind w:left="0"/>
            </w:pPr>
            <w:r>
              <w:t>$0.00</w:t>
            </w:r>
          </w:p>
        </w:tc>
        <w:tc>
          <w:tcPr>
            <w:tcW w:w="2094" w:type="dxa"/>
          </w:tcPr>
          <w:p w14:paraId="56717D36" w14:textId="573322CD" w:rsidR="006F752E" w:rsidRDefault="006F752E" w:rsidP="007724C6">
            <w:pPr>
              <w:ind w:left="0"/>
            </w:pPr>
            <w:r>
              <w:t>$0.00</w:t>
            </w:r>
          </w:p>
        </w:tc>
        <w:tc>
          <w:tcPr>
            <w:tcW w:w="2365" w:type="dxa"/>
          </w:tcPr>
          <w:p w14:paraId="5ADD5FA0" w14:textId="5DA22EEA" w:rsidR="006F752E" w:rsidRDefault="006F752E" w:rsidP="007724C6">
            <w:pPr>
              <w:ind w:left="0"/>
            </w:pPr>
            <w:r>
              <w:t>$0.00</w:t>
            </w:r>
          </w:p>
        </w:tc>
      </w:tr>
      <w:tr w:rsidR="006F752E" w14:paraId="52EF187A" w14:textId="77777777" w:rsidTr="007724C6">
        <w:tc>
          <w:tcPr>
            <w:tcW w:w="2365" w:type="dxa"/>
          </w:tcPr>
          <w:p w14:paraId="18AE7E32" w14:textId="77777777" w:rsidR="006F752E" w:rsidRDefault="006F752E" w:rsidP="007724C6">
            <w:pPr>
              <w:ind w:left="0"/>
            </w:pPr>
            <w:proofErr w:type="spellStart"/>
            <w:r>
              <w:t>Prevadultbks</w:t>
            </w:r>
            <w:proofErr w:type="spellEnd"/>
          </w:p>
        </w:tc>
        <w:tc>
          <w:tcPr>
            <w:tcW w:w="2094" w:type="dxa"/>
          </w:tcPr>
          <w:p w14:paraId="792C0606" w14:textId="35C074E6" w:rsidR="006F752E" w:rsidRDefault="006F752E" w:rsidP="007724C6">
            <w:pPr>
              <w:ind w:left="0"/>
            </w:pPr>
            <w:r>
              <w:t>$9,000</w:t>
            </w:r>
          </w:p>
        </w:tc>
        <w:tc>
          <w:tcPr>
            <w:tcW w:w="2094" w:type="dxa"/>
          </w:tcPr>
          <w:p w14:paraId="28F0076C" w14:textId="5F9FBB1B" w:rsidR="006F752E" w:rsidRDefault="006F752E" w:rsidP="007724C6">
            <w:pPr>
              <w:ind w:left="0"/>
            </w:pPr>
            <w:r>
              <w:t>$0.00</w:t>
            </w:r>
          </w:p>
        </w:tc>
        <w:tc>
          <w:tcPr>
            <w:tcW w:w="2365" w:type="dxa"/>
          </w:tcPr>
          <w:p w14:paraId="1B597BCD" w14:textId="6E7B4718" w:rsidR="006F752E" w:rsidRDefault="006F752E" w:rsidP="007724C6">
            <w:pPr>
              <w:ind w:left="0"/>
            </w:pPr>
            <w:r>
              <w:t>$100</w:t>
            </w:r>
          </w:p>
        </w:tc>
      </w:tr>
    </w:tbl>
    <w:p w14:paraId="434A89CE" w14:textId="77777777" w:rsidR="006F752E" w:rsidRDefault="006F752E" w:rsidP="006F752E"/>
    <w:p w14:paraId="0E3D6F31" w14:textId="1FA4DCBA" w:rsidR="00CF165D" w:rsidRDefault="00CF165D" w:rsidP="00B6692D">
      <w:pPr>
        <w:pStyle w:val="ListParagraph"/>
        <w:numPr>
          <w:ilvl w:val="0"/>
          <w:numId w:val="3"/>
        </w:numPr>
        <w:ind w:left="1260"/>
      </w:pPr>
      <w:r>
        <w:lastRenderedPageBreak/>
        <w:t>Manual – this setting is the only method where you can select which orders you wish to transfer to the previous year funds.  With this method the starting encumbrances</w:t>
      </w:r>
      <w:r w:rsidR="00DE7029">
        <w:t xml:space="preserve"> and appropriation</w:t>
      </w:r>
      <w:r>
        <w:t xml:space="preserve"> </w:t>
      </w:r>
      <w:r w:rsidR="002B3E07">
        <w:t>must</w:t>
      </w:r>
      <w:r>
        <w:t xml:space="preserve"> be entered manually.  Sierra does not retain the encumbrances from the specific orders you are </w:t>
      </w:r>
      <w:r w:rsidR="00BA6AAE">
        <w:t>moving,</w:t>
      </w:r>
      <w:r w:rsidR="00DE7029">
        <w:t xml:space="preserve"> nor does it calculate the appropriation</w:t>
      </w:r>
      <w:r>
        <w:t xml:space="preserve">.  It becomes critical to have </w:t>
      </w:r>
      <w:r w:rsidR="00DE7029">
        <w:t xml:space="preserve">the appropriation estimate </w:t>
      </w:r>
      <w:r>
        <w:t>information from usually Statistics or the Hierarchy reports.</w:t>
      </w:r>
      <w:r w:rsidR="00DE7029">
        <w:t xml:space="preserve">  The moved Encumbrance totals will be shown for you to Print.</w:t>
      </w:r>
    </w:p>
    <w:p w14:paraId="2D07F758" w14:textId="77777777" w:rsidR="00B6692D" w:rsidRDefault="00B6692D" w:rsidP="005674AA">
      <w:pPr>
        <w:pStyle w:val="Heading3"/>
      </w:pPr>
    </w:p>
    <w:p w14:paraId="76CE61DD" w14:textId="39E037F4" w:rsidR="00AB3DA3" w:rsidRDefault="005674AA" w:rsidP="005674AA">
      <w:pPr>
        <w:pStyle w:val="Heading3"/>
      </w:pPr>
      <w:r>
        <w:t>Tab Four – C</w:t>
      </w:r>
      <w:r w:rsidR="00DA70B6">
        <w:t>hange</w:t>
      </w:r>
      <w:r>
        <w:t xml:space="preserve"> Funds</w:t>
      </w:r>
      <w:r w:rsidR="00DA70B6">
        <w:t xml:space="preserve"> in Orders</w:t>
      </w:r>
      <w:r w:rsidR="00F52B70">
        <w:t xml:space="preserve"> for either of the two Automatic methods</w:t>
      </w:r>
    </w:p>
    <w:p w14:paraId="69CF6C4C" w14:textId="557A8596" w:rsidR="005C1F81" w:rsidRDefault="005C1F81" w:rsidP="005C1F81"/>
    <w:p w14:paraId="5863AD7F" w14:textId="0303D175" w:rsidR="005C1F81" w:rsidRPr="005C1F81" w:rsidRDefault="005C1F81" w:rsidP="005C1F81">
      <w:r>
        <w:rPr>
          <w:noProof/>
        </w:rPr>
        <w:drawing>
          <wp:inline distT="0" distB="0" distL="0" distR="0" wp14:anchorId="448733B2" wp14:editId="3EEDC515">
            <wp:extent cx="5943600" cy="1579880"/>
            <wp:effectExtent l="0" t="0" r="0" b="1270"/>
            <wp:docPr id="651519740" name="Picture 27" descr="An example of Tab Four which is Change funds in orders showing the archive funds and hierarchies choice and the operation to move orders from the current funds to the previous year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8">
                      <a:extLst>
                        <a:ext uri="{28A0092B-C50C-407E-A947-70E740481C1C}">
                          <a14:useLocalDpi xmlns:a14="http://schemas.microsoft.com/office/drawing/2010/main" val="0"/>
                        </a:ext>
                      </a:extLst>
                    </a:blip>
                    <a:stretch>
                      <a:fillRect/>
                    </a:stretch>
                  </pic:blipFill>
                  <pic:spPr>
                    <a:xfrm>
                      <a:off x="0" y="0"/>
                      <a:ext cx="5943600" cy="1579880"/>
                    </a:xfrm>
                    <a:prstGeom prst="rect">
                      <a:avLst/>
                    </a:prstGeom>
                  </pic:spPr>
                </pic:pic>
              </a:graphicData>
            </a:graphic>
          </wp:inline>
        </w:drawing>
      </w:r>
    </w:p>
    <w:p w14:paraId="1853FDB0" w14:textId="6937F721" w:rsidR="005674AA" w:rsidRDefault="005674AA" w:rsidP="005674AA"/>
    <w:p w14:paraId="2310994D" w14:textId="5EA3E738" w:rsidR="005674AA" w:rsidRDefault="00DA70B6" w:rsidP="005674AA">
      <w:r>
        <w:t xml:space="preserve">First let’s review the process for the two Automatic modes.  The only difference between these two is how the starting appropriation for the migrated order funds </w:t>
      </w:r>
      <w:r w:rsidR="00F52B70">
        <w:t>are</w:t>
      </w:r>
      <w:r>
        <w:t xml:space="preserve"> handled.</w:t>
      </w:r>
      <w:r w:rsidR="00CF165D">
        <w:t xml:space="preserve">  </w:t>
      </w:r>
    </w:p>
    <w:p w14:paraId="50EA31CC" w14:textId="438552E0" w:rsidR="006F752E" w:rsidRDefault="006F752E" w:rsidP="005674AA"/>
    <w:p w14:paraId="353CC17A" w14:textId="6C962AFC" w:rsidR="005674AA" w:rsidRDefault="00DA70B6" w:rsidP="005674AA">
      <w:pPr>
        <w:pStyle w:val="ListParagraph"/>
        <w:numPr>
          <w:ilvl w:val="0"/>
          <w:numId w:val="3"/>
        </w:numPr>
        <w:ind w:left="1260"/>
      </w:pPr>
      <w:bookmarkStart w:id="1" w:name="_Hlk48574158"/>
      <w:r>
        <w:t xml:space="preserve">The first decision is the </w:t>
      </w:r>
      <w:r w:rsidR="005674AA">
        <w:t>Archive “Current Funds” amounts to “Old Funds” and “Hierarchies” to “Old Hierarchies”</w:t>
      </w:r>
      <w:r w:rsidR="00275023">
        <w:t xml:space="preserve">.  This is a copy of what the fund structure looked like at the end of the year.  If you decide to come back to this </w:t>
      </w:r>
      <w:r w:rsidR="006F44E7">
        <w:t>tab,</w:t>
      </w:r>
      <w:r w:rsidR="00275023">
        <w:t xml:space="preserve"> make sure you uncheck this box otherwise you will replace your snapshot with cleared results.</w:t>
      </w:r>
    </w:p>
    <w:bookmarkEnd w:id="1"/>
    <w:p w14:paraId="4718CADA" w14:textId="277E7F79" w:rsidR="00275023" w:rsidRDefault="00CF165D" w:rsidP="005674AA">
      <w:pPr>
        <w:pStyle w:val="ListParagraph"/>
        <w:numPr>
          <w:ilvl w:val="0"/>
          <w:numId w:val="3"/>
        </w:numPr>
        <w:ind w:left="1260"/>
      </w:pPr>
      <w:r>
        <w:t>Funds Tab – Reallocate fund</w:t>
      </w:r>
      <w:r w:rsidR="00275023">
        <w:t xml:space="preserve">.  </w:t>
      </w:r>
      <w:r>
        <w:t xml:space="preserve">You will see two columns.  </w:t>
      </w:r>
    </w:p>
    <w:p w14:paraId="29A5125F" w14:textId="488D4081" w:rsidR="00275023" w:rsidRDefault="00CF165D" w:rsidP="00275023">
      <w:pPr>
        <w:pStyle w:val="ListParagraph"/>
        <w:numPr>
          <w:ilvl w:val="1"/>
          <w:numId w:val="3"/>
        </w:numPr>
      </w:pPr>
      <w:r>
        <w:t xml:space="preserve">From Fund column – these are </w:t>
      </w:r>
      <w:r w:rsidR="00DA70B6">
        <w:t>all</w:t>
      </w:r>
      <w:r>
        <w:t xml:space="preserve"> your funds however you are working with the ones that are not the previous year.  T</w:t>
      </w:r>
      <w:r w:rsidR="00275023">
        <w:t xml:space="preserve">he assumption is </w:t>
      </w:r>
      <w:r>
        <w:t xml:space="preserve">these funds have open orders and you will be mapping the contents of the fund to the matching </w:t>
      </w:r>
      <w:r w:rsidR="00DA70B6">
        <w:t>previous</w:t>
      </w:r>
      <w:r>
        <w:t xml:space="preserve"> year.  </w:t>
      </w:r>
    </w:p>
    <w:p w14:paraId="5E2F1048" w14:textId="61ADE567" w:rsidR="00275023" w:rsidRDefault="00DA70B6" w:rsidP="00275023">
      <w:pPr>
        <w:pStyle w:val="ListParagraph"/>
        <w:numPr>
          <w:ilvl w:val="1"/>
          <w:numId w:val="3"/>
        </w:numPr>
      </w:pPr>
      <w:r>
        <w:t xml:space="preserve">To Fund </w:t>
      </w:r>
      <w:r w:rsidR="00275023">
        <w:t xml:space="preserve">– </w:t>
      </w:r>
      <w:r>
        <w:t>click in this column to see a list of your funds.  Select the matching new previous year fund.  For example, you might have Adult Fiction with open orders.  In the From column find that line and click in the empty matching box under the To Fund column</w:t>
      </w:r>
      <w:r w:rsidR="00275023">
        <w:t>.</w:t>
      </w:r>
      <w:r>
        <w:t xml:space="preserve">  Select the Previous Adult Fiction fund.</w:t>
      </w:r>
    </w:p>
    <w:p w14:paraId="20D81850" w14:textId="56BAFAC9" w:rsidR="00275023" w:rsidRDefault="00DA70B6" w:rsidP="00275023">
      <w:pPr>
        <w:pStyle w:val="ListParagraph"/>
        <w:numPr>
          <w:ilvl w:val="1"/>
          <w:numId w:val="3"/>
        </w:numPr>
      </w:pPr>
      <w:r>
        <w:t>Go through the list setting the direct mapping to the appropriate previous year fund.</w:t>
      </w:r>
    </w:p>
    <w:p w14:paraId="1DE127E5" w14:textId="61226BC7" w:rsidR="00275023" w:rsidRDefault="00DA70B6" w:rsidP="00275023">
      <w:pPr>
        <w:pStyle w:val="ListParagraph"/>
        <w:numPr>
          <w:ilvl w:val="1"/>
          <w:numId w:val="3"/>
        </w:numPr>
      </w:pPr>
      <w:r>
        <w:t>Once this is done then click on Process.  Sierra will change the fund code of the open orders to the new fund code.  In effect doing a rapid update of the funds.</w:t>
      </w:r>
    </w:p>
    <w:p w14:paraId="008D88E3" w14:textId="76705497" w:rsidR="005C1F81" w:rsidRDefault="005C1F81" w:rsidP="005C1F81">
      <w:r>
        <w:rPr>
          <w:noProof/>
        </w:rPr>
        <w:lastRenderedPageBreak/>
        <w:drawing>
          <wp:inline distT="0" distB="0" distL="0" distR="0" wp14:anchorId="4E6A2B80" wp14:editId="60EFA48D">
            <wp:extent cx="5943600" cy="974090"/>
            <wp:effectExtent l="0" t="0" r="0" b="0"/>
            <wp:docPr id="974757333" name="Picture 28" descr="An example showing the current and previous fund codes when clicking on a cell next to a current fund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9">
                      <a:extLst>
                        <a:ext uri="{28A0092B-C50C-407E-A947-70E740481C1C}">
                          <a14:useLocalDpi xmlns:a14="http://schemas.microsoft.com/office/drawing/2010/main" val="0"/>
                        </a:ext>
                      </a:extLst>
                    </a:blip>
                    <a:stretch>
                      <a:fillRect/>
                    </a:stretch>
                  </pic:blipFill>
                  <pic:spPr>
                    <a:xfrm>
                      <a:off x="0" y="0"/>
                      <a:ext cx="5943600" cy="974090"/>
                    </a:xfrm>
                    <a:prstGeom prst="rect">
                      <a:avLst/>
                    </a:prstGeom>
                  </pic:spPr>
                </pic:pic>
              </a:graphicData>
            </a:graphic>
          </wp:inline>
        </w:drawing>
      </w:r>
    </w:p>
    <w:p w14:paraId="0E9F01B8" w14:textId="41049937" w:rsidR="00DA70B6" w:rsidRPr="005C1F81" w:rsidRDefault="00DA70B6" w:rsidP="005674AA">
      <w:pPr>
        <w:pStyle w:val="ListParagraph"/>
        <w:numPr>
          <w:ilvl w:val="0"/>
          <w:numId w:val="3"/>
        </w:numPr>
        <w:ind w:left="1260"/>
      </w:pPr>
      <w:r>
        <w:rPr>
          <w:color w:val="auto"/>
        </w:rPr>
        <w:t>Sierra will move to the second tab which is called Report – Process Report.  Print this for your records and click on Next.</w:t>
      </w:r>
    </w:p>
    <w:p w14:paraId="6876A6E6" w14:textId="6C736917" w:rsidR="005C1F81" w:rsidRPr="00DA70B6" w:rsidRDefault="005C1F81" w:rsidP="005C1F81">
      <w:r>
        <w:rPr>
          <w:noProof/>
        </w:rPr>
        <w:drawing>
          <wp:inline distT="0" distB="0" distL="0" distR="0" wp14:anchorId="2293861A" wp14:editId="255D0F3C">
            <wp:extent cx="2495678" cy="1358970"/>
            <wp:effectExtent l="0" t="0" r="0" b="0"/>
            <wp:docPr id="2083547352" name="Picture 29" descr="An example of the Process Report which is a summary of  the financial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0">
                      <a:extLst>
                        <a:ext uri="{28A0092B-C50C-407E-A947-70E740481C1C}">
                          <a14:useLocalDpi xmlns:a14="http://schemas.microsoft.com/office/drawing/2010/main" val="0"/>
                        </a:ext>
                      </a:extLst>
                    </a:blip>
                    <a:stretch>
                      <a:fillRect/>
                    </a:stretch>
                  </pic:blipFill>
                  <pic:spPr>
                    <a:xfrm>
                      <a:off x="0" y="0"/>
                      <a:ext cx="2495678" cy="1358970"/>
                    </a:xfrm>
                    <a:prstGeom prst="rect">
                      <a:avLst/>
                    </a:prstGeom>
                  </pic:spPr>
                </pic:pic>
              </a:graphicData>
            </a:graphic>
          </wp:inline>
        </w:drawing>
      </w:r>
    </w:p>
    <w:p w14:paraId="22F2FBD9" w14:textId="77777777" w:rsidR="00DA70B6" w:rsidRDefault="00DA70B6" w:rsidP="00DA70B6">
      <w:pPr>
        <w:rPr>
          <w:color w:val="auto"/>
        </w:rPr>
      </w:pPr>
    </w:p>
    <w:p w14:paraId="45CF2CA9" w14:textId="733B7E5D" w:rsidR="00DA70B6" w:rsidRDefault="00DA70B6" w:rsidP="00DA70B6">
      <w:pPr>
        <w:pStyle w:val="Heading3"/>
      </w:pPr>
      <w:r>
        <w:t>Tab Five – Clear Funds</w:t>
      </w:r>
    </w:p>
    <w:p w14:paraId="4C6BBDEE" w14:textId="5C622EF2" w:rsidR="005C1F81" w:rsidRDefault="005C1F81" w:rsidP="005C1F81"/>
    <w:p w14:paraId="3DAFF1CD" w14:textId="08C2F98E" w:rsidR="005C1F81" w:rsidRPr="005C1F81" w:rsidRDefault="005C1F81" w:rsidP="005C1F81">
      <w:r>
        <w:rPr>
          <w:noProof/>
        </w:rPr>
        <w:drawing>
          <wp:inline distT="0" distB="0" distL="0" distR="0" wp14:anchorId="3AEC7D79" wp14:editId="3E718881">
            <wp:extent cx="5416828" cy="2381372"/>
            <wp:effectExtent l="0" t="0" r="0" b="0"/>
            <wp:docPr id="1132161912" name="Picture 30" descr="An example of the Tab Four Clear Funds showing the op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21">
                      <a:extLst>
                        <a:ext uri="{28A0092B-C50C-407E-A947-70E740481C1C}">
                          <a14:useLocalDpi xmlns:a14="http://schemas.microsoft.com/office/drawing/2010/main" val="0"/>
                        </a:ext>
                      </a:extLst>
                    </a:blip>
                    <a:stretch>
                      <a:fillRect/>
                    </a:stretch>
                  </pic:blipFill>
                  <pic:spPr>
                    <a:xfrm>
                      <a:off x="0" y="0"/>
                      <a:ext cx="5416828" cy="2381372"/>
                    </a:xfrm>
                    <a:prstGeom prst="rect">
                      <a:avLst/>
                    </a:prstGeom>
                  </pic:spPr>
                </pic:pic>
              </a:graphicData>
            </a:graphic>
          </wp:inline>
        </w:drawing>
      </w:r>
    </w:p>
    <w:p w14:paraId="3A8B2BAD" w14:textId="77777777" w:rsidR="00DA70B6" w:rsidRDefault="00DA70B6" w:rsidP="00DA70B6">
      <w:pPr>
        <w:pStyle w:val="Heading3"/>
      </w:pPr>
    </w:p>
    <w:p w14:paraId="76D725AE" w14:textId="1CA9FAE5" w:rsidR="005674AA" w:rsidRDefault="00DA70B6" w:rsidP="00DA70B6">
      <w:r>
        <w:t xml:space="preserve">You will see a notation that the encumbrances that were moved in the previous step, using the associating the open orders with their new previous year fund codes have been saved.  They will be finalized in the final Adjust Funds via a Posting step.  </w:t>
      </w:r>
      <w:r w:rsidR="002F2AE8">
        <w:t>Before we review what to do with fund totals, decide regarding the statistics being kept in the Fund records.  The # Orders Year to Date for all funds and the # Payments Year to Date for all funds.  Essentially do wish those funds to record all the activity for multiple years or reset for the current year.</w:t>
      </w:r>
    </w:p>
    <w:p w14:paraId="58EE7843" w14:textId="77777777" w:rsidR="002F2AE8" w:rsidRPr="00275023" w:rsidRDefault="002F2AE8" w:rsidP="00DA70B6"/>
    <w:p w14:paraId="40590EC2" w14:textId="3B6CAC36" w:rsidR="002F2AE8" w:rsidRDefault="002F2AE8" w:rsidP="002F2AE8">
      <w:pPr>
        <w:pStyle w:val="ListParagraph"/>
        <w:numPr>
          <w:ilvl w:val="0"/>
          <w:numId w:val="3"/>
        </w:numPr>
        <w:ind w:left="1260"/>
      </w:pPr>
      <w:r>
        <w:t xml:space="preserve">Appropriation column.  Typically, this would be reset to zero.  The current funds that are starting the new fiscal year are set to zero pending an appropriation step under Adjust </w:t>
      </w:r>
      <w:r>
        <w:lastRenderedPageBreak/>
        <w:t>Funds.  The calculated appropriation for the previous year funds will be finalized during the Processing and Posting steps.</w:t>
      </w:r>
    </w:p>
    <w:p w14:paraId="531769A2" w14:textId="612BB1EF" w:rsidR="002F2AE8" w:rsidRDefault="002F2AE8" w:rsidP="002F2AE8">
      <w:pPr>
        <w:pStyle w:val="ListParagraph"/>
        <w:numPr>
          <w:ilvl w:val="0"/>
          <w:numId w:val="3"/>
        </w:numPr>
        <w:ind w:left="1260"/>
      </w:pPr>
      <w:r>
        <w:t>Expenditure column.  You would zero out the expenditures in the current year funds.  There would be no expenditures in the previous year funds.</w:t>
      </w:r>
    </w:p>
    <w:p w14:paraId="64561003" w14:textId="13DFC736" w:rsidR="002F2AE8" w:rsidRDefault="002F2AE8" w:rsidP="002F2AE8">
      <w:pPr>
        <w:pStyle w:val="ListParagraph"/>
        <w:numPr>
          <w:ilvl w:val="0"/>
          <w:numId w:val="3"/>
        </w:numPr>
        <w:ind w:left="1260"/>
      </w:pPr>
      <w:r>
        <w:t>Encumbrance column.  This column will show zero for each fund which can be confusing since the purpose of Method Two is to associate those orders and their encumbrances to their new previous year funds.  This will occur after the Process and Posting step.</w:t>
      </w:r>
    </w:p>
    <w:p w14:paraId="0AEA223C" w14:textId="0F5EEE3F" w:rsidR="002F2AE8" w:rsidRDefault="002F2AE8" w:rsidP="002F2AE8">
      <w:pPr>
        <w:pStyle w:val="ListParagraph"/>
        <w:numPr>
          <w:ilvl w:val="0"/>
          <w:numId w:val="3"/>
        </w:numPr>
        <w:ind w:left="1260"/>
      </w:pPr>
      <w:r>
        <w:t>Once your changes are shown correctly on the screen click the Process button.</w:t>
      </w:r>
    </w:p>
    <w:p w14:paraId="47E6A141" w14:textId="1BD609BE" w:rsidR="002F2AE8" w:rsidRDefault="002F2AE8" w:rsidP="002F2AE8"/>
    <w:p w14:paraId="7D408653" w14:textId="77777777" w:rsidR="002F2AE8" w:rsidRDefault="002F2AE8" w:rsidP="002F2AE8"/>
    <w:p w14:paraId="178263E9" w14:textId="25EB35EA" w:rsidR="00275023" w:rsidRDefault="00275023" w:rsidP="00275023">
      <w:pPr>
        <w:pStyle w:val="Heading3"/>
      </w:pPr>
      <w:r>
        <w:t xml:space="preserve">Tab </w:t>
      </w:r>
      <w:r w:rsidR="002F2AE8">
        <w:t>Six</w:t>
      </w:r>
      <w:r>
        <w:t xml:space="preserve"> – Adjust Funds</w:t>
      </w:r>
    </w:p>
    <w:p w14:paraId="4B8019CA" w14:textId="0C6A34AD" w:rsidR="005C1F81" w:rsidRDefault="005C1F81" w:rsidP="005C1F81"/>
    <w:p w14:paraId="61737F9A" w14:textId="3E55775C" w:rsidR="005C1F81" w:rsidRPr="005C1F81" w:rsidRDefault="005C1F81" w:rsidP="005C1F81">
      <w:r>
        <w:rPr>
          <w:noProof/>
        </w:rPr>
        <w:drawing>
          <wp:inline distT="0" distB="0" distL="0" distR="0" wp14:anchorId="6FD0E740" wp14:editId="1858F9F6">
            <wp:extent cx="5943600" cy="1654175"/>
            <wp:effectExtent l="0" t="0" r="0" b="3175"/>
            <wp:docPr id="1176294057" name="Picture 31" descr="An example of Tab Six Adjust Funds showing the options to add the new appropriation and where to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22">
                      <a:extLst>
                        <a:ext uri="{28A0092B-C50C-407E-A947-70E740481C1C}">
                          <a14:useLocalDpi xmlns:a14="http://schemas.microsoft.com/office/drawing/2010/main" val="0"/>
                        </a:ext>
                      </a:extLst>
                    </a:blip>
                    <a:stretch>
                      <a:fillRect/>
                    </a:stretch>
                  </pic:blipFill>
                  <pic:spPr>
                    <a:xfrm>
                      <a:off x="0" y="0"/>
                      <a:ext cx="5943600" cy="1654175"/>
                    </a:xfrm>
                    <a:prstGeom prst="rect">
                      <a:avLst/>
                    </a:prstGeom>
                  </pic:spPr>
                </pic:pic>
              </a:graphicData>
            </a:graphic>
          </wp:inline>
        </w:drawing>
      </w:r>
    </w:p>
    <w:p w14:paraId="32257C4C" w14:textId="631E361D" w:rsidR="00275023" w:rsidRDefault="00275023" w:rsidP="00275023"/>
    <w:p w14:paraId="797123EB" w14:textId="2511B1E8" w:rsidR="006B076D" w:rsidRDefault="006B076D" w:rsidP="005674AA">
      <w:r>
        <w:t xml:space="preserve">After you click on Process and then Next you will move to the Tab Six – Adjust Funds tab.  We see the appropriation was copied from the original funds to their previous year funds.  We see the expenditures in those funds as well.  However, we don’t see the Encumbrances.  That requires you to do the Posting step.  At this point you could use the Fund Adjustment tool to add your starting appropriation for your current Funds or skip that step and just click on Post.  </w:t>
      </w:r>
    </w:p>
    <w:p w14:paraId="2184EED7" w14:textId="77777777" w:rsidR="006B076D" w:rsidRDefault="006B076D" w:rsidP="005674AA"/>
    <w:p w14:paraId="6C2DBEC7" w14:textId="0DC6C359" w:rsidR="005674AA" w:rsidRPr="005674AA" w:rsidRDefault="006B076D" w:rsidP="005674AA">
      <w:r>
        <w:t>After Posting you should see the encumbrances from your open orders on your previous year funds.  After Posting y</w:t>
      </w:r>
      <w:r w:rsidR="006F44E7">
        <w:t>ou will receive a Fiscal Close Complete message.  Then click on another function in your Workflow dropdown to exit Fiscal Close.</w:t>
      </w:r>
    </w:p>
    <w:p w14:paraId="58579804" w14:textId="2C5C2FDF" w:rsidR="00AB3DA3" w:rsidRDefault="00AB3DA3" w:rsidP="00D12B9B"/>
    <w:p w14:paraId="102B312E" w14:textId="02CD74CE" w:rsidR="00AB3DA3" w:rsidRDefault="00AB3DA3" w:rsidP="00D12B9B"/>
    <w:p w14:paraId="7B234604" w14:textId="77777777" w:rsidR="00E70211" w:rsidRDefault="00E70211">
      <w:pPr>
        <w:ind w:left="0"/>
        <w:rPr>
          <w:rFonts w:asciiTheme="majorHAnsi" w:eastAsiaTheme="majorEastAsia" w:hAnsiTheme="majorHAnsi" w:cstheme="majorBidi"/>
          <w:b/>
          <w:szCs w:val="24"/>
        </w:rPr>
      </w:pPr>
      <w:r>
        <w:br w:type="page"/>
      </w:r>
    </w:p>
    <w:p w14:paraId="16EF16AE" w14:textId="170D7A8E" w:rsidR="00AB3DA3" w:rsidRDefault="00F52B70" w:rsidP="00F52B70">
      <w:pPr>
        <w:pStyle w:val="Heading3"/>
      </w:pPr>
      <w:r>
        <w:lastRenderedPageBreak/>
        <w:t>Tab Four – Change Funds in Orders using the Manual Method</w:t>
      </w:r>
    </w:p>
    <w:p w14:paraId="6799EE0F" w14:textId="174EAA7D" w:rsidR="005C1F81" w:rsidRDefault="005C1F81" w:rsidP="005C1F81"/>
    <w:p w14:paraId="3FEF4C9C" w14:textId="31CD2A94" w:rsidR="005C1F81" w:rsidRPr="005C1F81" w:rsidRDefault="005C1F81" w:rsidP="005C1F81">
      <w:r>
        <w:rPr>
          <w:noProof/>
        </w:rPr>
        <w:drawing>
          <wp:inline distT="0" distB="0" distL="0" distR="0" wp14:anchorId="26E72C89" wp14:editId="7232741D">
            <wp:extent cx="5334276" cy="1638384"/>
            <wp:effectExtent l="0" t="0" r="0" b="0"/>
            <wp:docPr id="250302647" name="Picture 32" descr="An example of Tab 4 Change Funds in Orders for the Manual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23">
                      <a:extLst>
                        <a:ext uri="{28A0092B-C50C-407E-A947-70E740481C1C}">
                          <a14:useLocalDpi xmlns:a14="http://schemas.microsoft.com/office/drawing/2010/main" val="0"/>
                        </a:ext>
                      </a:extLst>
                    </a:blip>
                    <a:stretch>
                      <a:fillRect/>
                    </a:stretch>
                  </pic:blipFill>
                  <pic:spPr>
                    <a:xfrm>
                      <a:off x="0" y="0"/>
                      <a:ext cx="5334276" cy="1638384"/>
                    </a:xfrm>
                    <a:prstGeom prst="rect">
                      <a:avLst/>
                    </a:prstGeom>
                  </pic:spPr>
                </pic:pic>
              </a:graphicData>
            </a:graphic>
          </wp:inline>
        </w:drawing>
      </w:r>
    </w:p>
    <w:p w14:paraId="4E3A1A86" w14:textId="26186C36" w:rsidR="00F52B70" w:rsidRDefault="00F52B70" w:rsidP="00F52B70"/>
    <w:p w14:paraId="0685C19E" w14:textId="54617D33" w:rsidR="00F52B70" w:rsidRDefault="00F52B70" w:rsidP="00F52B70">
      <w:pPr>
        <w:pStyle w:val="ListParagraph"/>
        <w:numPr>
          <w:ilvl w:val="0"/>
          <w:numId w:val="3"/>
        </w:numPr>
        <w:ind w:left="1260"/>
      </w:pPr>
      <w:r>
        <w:t>The first decision is the Archive “Current Funds” amounts to “Old Funds” and “Hierarchies” to “Old Hierarchies”.  This is a copy of what the fund structure looked like at the end of the year.  If you decide to come back to this tab, make sure you uncheck this box otherwise you will replace your snapshot with cleared results.</w:t>
      </w:r>
    </w:p>
    <w:p w14:paraId="3B0CED36" w14:textId="0EAE7498" w:rsidR="00F52B70" w:rsidRDefault="00F52B70" w:rsidP="00F52B70">
      <w:pPr>
        <w:pStyle w:val="ListParagraph"/>
        <w:numPr>
          <w:ilvl w:val="0"/>
          <w:numId w:val="3"/>
        </w:numPr>
        <w:ind w:left="1260"/>
      </w:pPr>
      <w:r>
        <w:t>Next, we see the option to select a review file.  Here is the major difference between this method and the Automatic methods.  You chose which funds ahead of time by including them in a review file.</w:t>
      </w:r>
    </w:p>
    <w:p w14:paraId="55BB94E1" w14:textId="534CC1CF" w:rsidR="00F52B70" w:rsidRDefault="00F52B70" w:rsidP="00F52B70">
      <w:pPr>
        <w:pStyle w:val="ListParagraph"/>
        <w:numPr>
          <w:ilvl w:val="0"/>
          <w:numId w:val="3"/>
        </w:numPr>
        <w:ind w:left="1260"/>
      </w:pPr>
      <w:r>
        <w:t xml:space="preserve">You also have the option to Limit by Order Status, an option to change that Status and the option to include orders that have been partially paid.  </w:t>
      </w:r>
    </w:p>
    <w:p w14:paraId="42B40135" w14:textId="22BA1D2A" w:rsidR="00F52B70" w:rsidRDefault="00F52B70" w:rsidP="00F52B70">
      <w:pPr>
        <w:pStyle w:val="ListParagraph"/>
        <w:numPr>
          <w:ilvl w:val="0"/>
          <w:numId w:val="3"/>
        </w:numPr>
        <w:ind w:left="1260"/>
      </w:pPr>
      <w:r>
        <w:t xml:space="preserve">We then see the same From and To Funds to make our associations.  </w:t>
      </w:r>
    </w:p>
    <w:p w14:paraId="58FD9A51" w14:textId="74A4F652" w:rsidR="00DE7029" w:rsidRDefault="00DE7029" w:rsidP="00F52B70">
      <w:pPr>
        <w:pStyle w:val="ListParagraph"/>
        <w:numPr>
          <w:ilvl w:val="0"/>
          <w:numId w:val="3"/>
        </w:numPr>
        <w:ind w:left="1260"/>
      </w:pPr>
      <w:r>
        <w:t>After we confirm our choices and our Fund mapping, click on Process.</w:t>
      </w:r>
    </w:p>
    <w:p w14:paraId="778A994D" w14:textId="7B829049" w:rsidR="00DE7029" w:rsidRDefault="00DE7029" w:rsidP="00F52B70">
      <w:pPr>
        <w:pStyle w:val="ListParagraph"/>
        <w:numPr>
          <w:ilvl w:val="0"/>
          <w:numId w:val="3"/>
        </w:numPr>
        <w:ind w:left="1260"/>
      </w:pPr>
      <w:r>
        <w:t xml:space="preserve">Sierra shifts to the second tab under Change Funds in Orders.  It is critical to print this Summary as it tells you the amount to enter as the Encumbrance for each Fund.  Sierra doesn’t do this for you.  If you lose this Summary, then use Create Lists to gather up the orders on these Funds and run the report through Sierra Statistics to note the </w:t>
      </w:r>
      <w:proofErr w:type="spellStart"/>
      <w:r>
        <w:t>eprice</w:t>
      </w:r>
      <w:proofErr w:type="spellEnd"/>
      <w:r>
        <w:t xml:space="preserve"> totals.</w:t>
      </w:r>
    </w:p>
    <w:p w14:paraId="5AE64943" w14:textId="77777777" w:rsidR="005C1F81" w:rsidRDefault="005C1F81" w:rsidP="005C1F81">
      <w:pPr>
        <w:pStyle w:val="ListParagraph"/>
        <w:ind w:left="1260"/>
      </w:pPr>
    </w:p>
    <w:p w14:paraId="394A34F4" w14:textId="09C65C06" w:rsidR="005C1F81" w:rsidRDefault="005C1F81" w:rsidP="005C1F81">
      <w:r>
        <w:rPr>
          <w:noProof/>
        </w:rPr>
        <w:drawing>
          <wp:inline distT="0" distB="0" distL="0" distR="0" wp14:anchorId="19C4FA58" wp14:editId="10C85675">
            <wp:extent cx="2940201" cy="1943200"/>
            <wp:effectExtent l="0" t="0" r="0" b="0"/>
            <wp:docPr id="1394122556" name="Picture 33" descr="An example of the Tab Four Change Funds in Orders showing the Process Report.  It is important to print a copy of this report as it will be needed to add the encumbrances and appropri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24">
                      <a:extLst>
                        <a:ext uri="{28A0092B-C50C-407E-A947-70E740481C1C}">
                          <a14:useLocalDpi xmlns:a14="http://schemas.microsoft.com/office/drawing/2010/main" val="0"/>
                        </a:ext>
                      </a:extLst>
                    </a:blip>
                    <a:stretch>
                      <a:fillRect/>
                    </a:stretch>
                  </pic:blipFill>
                  <pic:spPr>
                    <a:xfrm>
                      <a:off x="0" y="0"/>
                      <a:ext cx="2940201" cy="1943200"/>
                    </a:xfrm>
                    <a:prstGeom prst="rect">
                      <a:avLst/>
                    </a:prstGeom>
                  </pic:spPr>
                </pic:pic>
              </a:graphicData>
            </a:graphic>
          </wp:inline>
        </w:drawing>
      </w:r>
    </w:p>
    <w:p w14:paraId="23B4A8D0" w14:textId="4F957C36" w:rsidR="00DE7029" w:rsidRDefault="00DE7029" w:rsidP="00DE7029">
      <w:pPr>
        <w:pStyle w:val="Heading3"/>
      </w:pPr>
      <w:r>
        <w:lastRenderedPageBreak/>
        <w:t>Tab Five – Clear Funds</w:t>
      </w:r>
    </w:p>
    <w:p w14:paraId="34CAFA89" w14:textId="7A14E0F6" w:rsidR="005C1F81" w:rsidRPr="005C1F81" w:rsidRDefault="005C1F81" w:rsidP="005C1F81">
      <w:r>
        <w:rPr>
          <w:noProof/>
        </w:rPr>
        <w:drawing>
          <wp:inline distT="0" distB="0" distL="0" distR="0" wp14:anchorId="0E074823" wp14:editId="31694AFF">
            <wp:extent cx="5943600" cy="1775460"/>
            <wp:effectExtent l="0" t="0" r="0" b="0"/>
            <wp:docPr id="2070859478" name="Picture 34" descr="An example of Tab Five - Clear Funds showing the desired clearing of am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25">
                      <a:extLst>
                        <a:ext uri="{28A0092B-C50C-407E-A947-70E740481C1C}">
                          <a14:useLocalDpi xmlns:a14="http://schemas.microsoft.com/office/drawing/2010/main" val="0"/>
                        </a:ext>
                      </a:extLst>
                    </a:blip>
                    <a:stretch>
                      <a:fillRect/>
                    </a:stretch>
                  </pic:blipFill>
                  <pic:spPr>
                    <a:xfrm>
                      <a:off x="0" y="0"/>
                      <a:ext cx="5943600" cy="1775460"/>
                    </a:xfrm>
                    <a:prstGeom prst="rect">
                      <a:avLst/>
                    </a:prstGeom>
                  </pic:spPr>
                </pic:pic>
              </a:graphicData>
            </a:graphic>
          </wp:inline>
        </w:drawing>
      </w:r>
    </w:p>
    <w:p w14:paraId="4F9D7C0D" w14:textId="77777777" w:rsidR="00DE7029" w:rsidRPr="00DE7029" w:rsidRDefault="00DE7029" w:rsidP="00DE7029"/>
    <w:p w14:paraId="55320C4D" w14:textId="3FAFC7BF" w:rsidR="00DE7029" w:rsidRDefault="00DE7029" w:rsidP="00DE7029">
      <w:pPr>
        <w:pStyle w:val="ListParagraph"/>
        <w:numPr>
          <w:ilvl w:val="0"/>
          <w:numId w:val="3"/>
        </w:numPr>
        <w:ind w:left="1260"/>
      </w:pPr>
      <w:r>
        <w:t>The notation indicates you should reset to zero the Appropriations, Expenditures and Encumbrances for all funds you wish to change for the new Fiscal Year.  In the following step you will use the report you just printed to enter your starting Appropriation and the required Encumbrances into your previous year Funds.</w:t>
      </w:r>
    </w:p>
    <w:p w14:paraId="558EB3F7" w14:textId="3F04231F" w:rsidR="00DE7029" w:rsidRDefault="00DE7029" w:rsidP="00DE7029">
      <w:pPr>
        <w:pStyle w:val="ListParagraph"/>
        <w:numPr>
          <w:ilvl w:val="0"/>
          <w:numId w:val="3"/>
        </w:numPr>
        <w:ind w:left="1260"/>
      </w:pPr>
      <w:r>
        <w:t>The same decision regarding the statistics in the Funds.</w:t>
      </w:r>
    </w:p>
    <w:p w14:paraId="1CC42402" w14:textId="4E8BA5C4" w:rsidR="00DE7029" w:rsidRDefault="00DE7029" w:rsidP="00DE7029">
      <w:pPr>
        <w:pStyle w:val="ListParagraph"/>
        <w:numPr>
          <w:ilvl w:val="0"/>
          <w:numId w:val="3"/>
        </w:numPr>
        <w:ind w:left="1260"/>
      </w:pPr>
      <w:r>
        <w:t>Then Process.</w:t>
      </w:r>
    </w:p>
    <w:p w14:paraId="5E632BEA" w14:textId="19DB4F7B" w:rsidR="00DE7029" w:rsidRDefault="00DE7029" w:rsidP="00DE7029"/>
    <w:p w14:paraId="0D84E4D3" w14:textId="76D606F9" w:rsidR="00DE7029" w:rsidRDefault="00DE7029" w:rsidP="00DE7029">
      <w:pPr>
        <w:pStyle w:val="Heading3"/>
      </w:pPr>
      <w:r>
        <w:t>Tab Six – Adjust Funds</w:t>
      </w:r>
    </w:p>
    <w:p w14:paraId="0BD68149" w14:textId="226CDCE4" w:rsidR="005C1F81" w:rsidRPr="005C1F81" w:rsidRDefault="005C1F81" w:rsidP="005C1F81">
      <w:r>
        <w:rPr>
          <w:noProof/>
        </w:rPr>
        <w:drawing>
          <wp:inline distT="0" distB="0" distL="0" distR="0" wp14:anchorId="4562C98E" wp14:editId="4F5F9908">
            <wp:extent cx="5226317" cy="1009702"/>
            <wp:effectExtent l="0" t="0" r="0" b="0"/>
            <wp:docPr id="1844201187" name="Picture 35" descr="An example of Tab Six showing the Adjust Funds which is where the appropriations and encumbrances have to be added to the appropriate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26">
                      <a:extLst>
                        <a:ext uri="{28A0092B-C50C-407E-A947-70E740481C1C}">
                          <a14:useLocalDpi xmlns:a14="http://schemas.microsoft.com/office/drawing/2010/main" val="0"/>
                        </a:ext>
                      </a:extLst>
                    </a:blip>
                    <a:stretch>
                      <a:fillRect/>
                    </a:stretch>
                  </pic:blipFill>
                  <pic:spPr>
                    <a:xfrm>
                      <a:off x="0" y="0"/>
                      <a:ext cx="5226317" cy="1009702"/>
                    </a:xfrm>
                    <a:prstGeom prst="rect">
                      <a:avLst/>
                    </a:prstGeom>
                  </pic:spPr>
                </pic:pic>
              </a:graphicData>
            </a:graphic>
          </wp:inline>
        </w:drawing>
      </w:r>
    </w:p>
    <w:p w14:paraId="2F425879" w14:textId="1F48DC0C" w:rsidR="00DE7029" w:rsidRDefault="00DE7029" w:rsidP="00DE7029"/>
    <w:p w14:paraId="492E73C7" w14:textId="51974964" w:rsidR="00DE7029" w:rsidRPr="00DE7029" w:rsidRDefault="00DE7029" w:rsidP="00DE7029">
      <w:r>
        <w:t>The difference with this method is nothing is copied over for your previous year funds.  Using the Fund Adjustment tool enter the appropriation amount and the encumbrance amount from your summary.  Then Post</w:t>
      </w:r>
      <w:r w:rsidR="00D17D79">
        <w:t xml:space="preserve"> and </w:t>
      </w:r>
      <w:r w:rsidR="00951E76">
        <w:t>Quit Fund Adjustments to finish Fiscal Close</w:t>
      </w:r>
      <w:r>
        <w:t>.</w:t>
      </w:r>
    </w:p>
    <w:p w14:paraId="75EB33E6" w14:textId="69373F66" w:rsidR="00DE7029" w:rsidRDefault="00D17D79" w:rsidP="00DE7029">
      <w:r>
        <w:rPr>
          <w:noProof/>
        </w:rPr>
        <w:drawing>
          <wp:inline distT="0" distB="0" distL="0" distR="0" wp14:anchorId="078822E5" wp14:editId="06C58C33">
            <wp:extent cx="1225613" cy="654084"/>
            <wp:effectExtent l="0" t="0" r="0" b="0"/>
            <wp:docPr id="87648236" name="Picture 2" descr="An example of the Fiscal Close complete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7">
                      <a:extLst>
                        <a:ext uri="{28A0092B-C50C-407E-A947-70E740481C1C}">
                          <a14:useLocalDpi xmlns:a14="http://schemas.microsoft.com/office/drawing/2010/main" val="0"/>
                        </a:ext>
                      </a:extLst>
                    </a:blip>
                    <a:stretch>
                      <a:fillRect/>
                    </a:stretch>
                  </pic:blipFill>
                  <pic:spPr>
                    <a:xfrm>
                      <a:off x="0" y="0"/>
                      <a:ext cx="1225613" cy="654084"/>
                    </a:xfrm>
                    <a:prstGeom prst="rect">
                      <a:avLst/>
                    </a:prstGeom>
                  </pic:spPr>
                </pic:pic>
              </a:graphicData>
            </a:graphic>
          </wp:inline>
        </w:drawing>
      </w:r>
    </w:p>
    <w:p w14:paraId="26C6B161" w14:textId="1850DDAE" w:rsidR="0042078F" w:rsidRPr="00DE7029" w:rsidRDefault="0042078F" w:rsidP="00D17D79">
      <w:pPr>
        <w:ind w:left="0"/>
      </w:pPr>
    </w:p>
    <w:p w14:paraId="2801EC56" w14:textId="6EF713CD" w:rsidR="00AB3DA3" w:rsidRPr="00AB3DA3" w:rsidRDefault="00C04E4F" w:rsidP="00D17D7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A834A1">
        <w:t>2</w:t>
      </w:r>
      <w:r>
        <w:t>, Innovative Interfaces, Inc.</w:t>
      </w:r>
    </w:p>
    <w:sectPr w:rsidR="00AB3DA3" w:rsidRPr="00AB3DA3" w:rsidSect="00A5336B">
      <w:headerReference w:type="default" r:id="rId28"/>
      <w:footerReference w:type="default" r:id="rId2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E0A2" w14:textId="77777777" w:rsidR="00127B8C" w:rsidRDefault="00127B8C" w:rsidP="00750BFA">
      <w:r>
        <w:separator/>
      </w:r>
    </w:p>
  </w:endnote>
  <w:endnote w:type="continuationSeparator" w:id="0">
    <w:p w14:paraId="47FEA2FB" w14:textId="77777777" w:rsidR="00127B8C" w:rsidRDefault="00127B8C"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E5E6" w14:textId="77777777" w:rsidR="00A5336B" w:rsidRPr="00FF63CE" w:rsidRDefault="00A5336B" w:rsidP="00A5336B">
    <w:pPr>
      <w:pStyle w:val="Footer"/>
      <w:tabs>
        <w:tab w:val="clear" w:pos="9360"/>
        <w:tab w:val="right" w:pos="9356"/>
      </w:tabs>
      <w:rPr>
        <w:sz w:val="16"/>
        <w:szCs w:val="16"/>
      </w:rPr>
    </w:pPr>
  </w:p>
  <w:p w14:paraId="35D29D72" w14:textId="77777777" w:rsidR="00A5336B" w:rsidRPr="000F0F91" w:rsidRDefault="00127B8C"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4C487D">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4C487D">
              <w:rPr>
                <w:bCs/>
                <w:iCs/>
                <w:noProof/>
                <w:sz w:val="20"/>
              </w:rPr>
              <w:t>9</w:t>
            </w:r>
            <w:r w:rsidR="00A5336B" w:rsidRPr="000F0F91">
              <w:rPr>
                <w:bCs/>
                <w:iCs/>
                <w:sz w:val="20"/>
              </w:rPr>
              <w:fldChar w:fldCharType="end"/>
            </w:r>
          </w:sdtContent>
        </w:sdt>
      </w:sdtContent>
    </w:sdt>
  </w:p>
  <w:p w14:paraId="6BEEDFAD" w14:textId="77777777" w:rsidR="00A5336B" w:rsidRDefault="00A5336B" w:rsidP="00A5336B">
    <w:pPr>
      <w:pStyle w:val="Footer"/>
    </w:pPr>
  </w:p>
  <w:p w14:paraId="4607D1B4" w14:textId="71A452E5" w:rsidR="00A5336B" w:rsidRPr="00256302" w:rsidRDefault="00A834A1" w:rsidP="00A5336B">
    <w:pPr>
      <w:pStyle w:val="Footer"/>
      <w:jc w:val="center"/>
    </w:pPr>
    <w:r>
      <w:rPr>
        <w:noProof/>
      </w:rPr>
      <w:drawing>
        <wp:inline distT="0" distB="0" distL="0" distR="0" wp14:anchorId="25FE91FB" wp14:editId="6DFCFCD5">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3504C8EC"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7E9C" w14:textId="77777777" w:rsidR="00127B8C" w:rsidRDefault="00127B8C" w:rsidP="00750BFA">
      <w:r>
        <w:separator/>
      </w:r>
    </w:p>
  </w:footnote>
  <w:footnote w:type="continuationSeparator" w:id="0">
    <w:p w14:paraId="3D469567" w14:textId="77777777" w:rsidR="00127B8C" w:rsidRDefault="00127B8C"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BE28" w14:textId="77777777" w:rsidR="00750BFA" w:rsidRDefault="3BE4C798" w:rsidP="00750BFA">
    <w:pPr>
      <w:pStyle w:val="Header"/>
      <w:jc w:val="center"/>
    </w:pPr>
    <w:r>
      <w:rPr>
        <w:noProof/>
      </w:rPr>
      <w:drawing>
        <wp:inline distT="0" distB="0" distL="0" distR="0" wp14:anchorId="48A86C46" wp14:editId="16858C53">
          <wp:extent cx="2286000" cy="857250"/>
          <wp:effectExtent l="0" t="0" r="0" b="0"/>
          <wp:docPr id="2008771687"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771687"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AA"/>
    <w:multiLevelType w:val="hybridMultilevel"/>
    <w:tmpl w:val="31D4F3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C1E0EA0"/>
    <w:multiLevelType w:val="hybridMultilevel"/>
    <w:tmpl w:val="72C8DA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0F4D24DA"/>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FD51A02"/>
    <w:multiLevelType w:val="hybridMultilevel"/>
    <w:tmpl w:val="437A1906"/>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10775609"/>
    <w:multiLevelType w:val="hybridMultilevel"/>
    <w:tmpl w:val="A0E4DC2E"/>
    <w:lvl w:ilvl="0" w:tplc="57609A46">
      <w:start w:val="1"/>
      <w:numFmt w:val="decimal"/>
      <w:lvlText w:val="%1."/>
      <w:lvlJc w:val="left"/>
      <w:pPr>
        <w:ind w:left="1080"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12B97FEB"/>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A7A70E8"/>
    <w:multiLevelType w:val="hybridMultilevel"/>
    <w:tmpl w:val="8FF2CEB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1BAE2188"/>
    <w:multiLevelType w:val="hybridMultilevel"/>
    <w:tmpl w:val="6936CC72"/>
    <w:lvl w:ilvl="0" w:tplc="687E13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1BE96281"/>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00B01F0"/>
    <w:multiLevelType w:val="hybridMultilevel"/>
    <w:tmpl w:val="1576C8B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248C5A92"/>
    <w:multiLevelType w:val="hybridMultilevel"/>
    <w:tmpl w:val="BF6078BE"/>
    <w:lvl w:ilvl="0" w:tplc="6D1C34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A1658A0"/>
    <w:multiLevelType w:val="hybridMultilevel"/>
    <w:tmpl w:val="B47EBDA6"/>
    <w:lvl w:ilvl="0" w:tplc="270AF12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D4B5216"/>
    <w:multiLevelType w:val="hybridMultilevel"/>
    <w:tmpl w:val="99943A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A70E32"/>
    <w:multiLevelType w:val="hybridMultilevel"/>
    <w:tmpl w:val="A80EAAAC"/>
    <w:lvl w:ilvl="0" w:tplc="E9F275E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9010D3F"/>
    <w:multiLevelType w:val="hybridMultilevel"/>
    <w:tmpl w:val="A01822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C095F67"/>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403908C7"/>
    <w:multiLevelType w:val="hybridMultilevel"/>
    <w:tmpl w:val="EF8462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5B735B2"/>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48CB54D6"/>
    <w:multiLevelType w:val="hybridMultilevel"/>
    <w:tmpl w:val="B32664B6"/>
    <w:lvl w:ilvl="0" w:tplc="2724F65C">
      <w:start w:val="1"/>
      <w:numFmt w:val="bullet"/>
      <w:lvlText w:val=""/>
      <w:lvlJc w:val="left"/>
      <w:pPr>
        <w:ind w:left="1080" w:hanging="360"/>
      </w:pPr>
      <w:rPr>
        <w:rFonts w:ascii="Symbol" w:hAnsi="Symbol" w:cs="Symbol" w:hint="default"/>
        <w:color w:val="D54120"/>
      </w:rPr>
    </w:lvl>
    <w:lvl w:ilvl="1" w:tplc="04090003">
      <w:start w:val="1"/>
      <w:numFmt w:val="bullet"/>
      <w:lvlText w:val="o"/>
      <w:lvlJc w:val="left"/>
      <w:pPr>
        <w:ind w:left="936" w:hanging="360"/>
      </w:pPr>
      <w:rPr>
        <w:rFonts w:ascii="Courier New" w:hAnsi="Courier New" w:cs="Courier New" w:hint="default"/>
      </w:rPr>
    </w:lvl>
    <w:lvl w:ilvl="2" w:tplc="04090005">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0"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7FA55E1"/>
    <w:multiLevelType w:val="hybridMultilevel"/>
    <w:tmpl w:val="D3CAACEE"/>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15:restartNumberingAfterBreak="0">
    <w:nsid w:val="5A460911"/>
    <w:multiLevelType w:val="hybridMultilevel"/>
    <w:tmpl w:val="D12652FE"/>
    <w:lvl w:ilvl="0" w:tplc="866E96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BDA129F"/>
    <w:multiLevelType w:val="hybridMultilevel"/>
    <w:tmpl w:val="1B642E4C"/>
    <w:lvl w:ilvl="0" w:tplc="E9F275E8">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3CD040B"/>
    <w:multiLevelType w:val="hybridMultilevel"/>
    <w:tmpl w:val="5F72F434"/>
    <w:lvl w:ilvl="0" w:tplc="A39AFDD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68961E18"/>
    <w:multiLevelType w:val="hybridMultilevel"/>
    <w:tmpl w:val="47DA08FE"/>
    <w:lvl w:ilvl="0" w:tplc="2724F65C">
      <w:start w:val="1"/>
      <w:numFmt w:val="bullet"/>
      <w:lvlText w:val=""/>
      <w:lvlJc w:val="left"/>
      <w:pPr>
        <w:ind w:left="1080" w:hanging="360"/>
      </w:pPr>
      <w:rPr>
        <w:rFonts w:ascii="Symbol" w:hAnsi="Symbol" w:cs="Symbol" w:hint="default"/>
        <w:color w:val="D54120"/>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6" w15:restartNumberingAfterBreak="0">
    <w:nsid w:val="69E1305E"/>
    <w:multiLevelType w:val="hybridMultilevel"/>
    <w:tmpl w:val="6CD8F460"/>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79865827"/>
    <w:multiLevelType w:val="hybridMultilevel"/>
    <w:tmpl w:val="D8DAC3C2"/>
    <w:lvl w:ilvl="0" w:tplc="A30C935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27"/>
  </w:num>
  <w:num w:numId="3">
    <w:abstractNumId w:val="29"/>
  </w:num>
  <w:num w:numId="4">
    <w:abstractNumId w:val="20"/>
  </w:num>
  <w:num w:numId="5">
    <w:abstractNumId w:val="16"/>
  </w:num>
  <w:num w:numId="6">
    <w:abstractNumId w:val="22"/>
  </w:num>
  <w:num w:numId="7">
    <w:abstractNumId w:val="11"/>
  </w:num>
  <w:num w:numId="8">
    <w:abstractNumId w:val="4"/>
  </w:num>
  <w:num w:numId="9">
    <w:abstractNumId w:val="6"/>
  </w:num>
  <w:num w:numId="10">
    <w:abstractNumId w:val="10"/>
  </w:num>
  <w:num w:numId="11">
    <w:abstractNumId w:val="9"/>
  </w:num>
  <w:num w:numId="12">
    <w:abstractNumId w:val="3"/>
  </w:num>
  <w:num w:numId="13">
    <w:abstractNumId w:val="28"/>
  </w:num>
  <w:num w:numId="14">
    <w:abstractNumId w:val="18"/>
  </w:num>
  <w:num w:numId="15">
    <w:abstractNumId w:val="0"/>
  </w:num>
  <w:num w:numId="16">
    <w:abstractNumId w:val="21"/>
  </w:num>
  <w:num w:numId="17">
    <w:abstractNumId w:val="2"/>
  </w:num>
  <w:num w:numId="18">
    <w:abstractNumId w:val="26"/>
  </w:num>
  <w:num w:numId="19">
    <w:abstractNumId w:val="5"/>
  </w:num>
  <w:num w:numId="20">
    <w:abstractNumId w:val="8"/>
  </w:num>
  <w:num w:numId="21">
    <w:abstractNumId w:val="19"/>
  </w:num>
  <w:num w:numId="22">
    <w:abstractNumId w:val="25"/>
  </w:num>
  <w:num w:numId="23">
    <w:abstractNumId w:val="7"/>
  </w:num>
  <w:num w:numId="24">
    <w:abstractNumId w:val="15"/>
  </w:num>
  <w:num w:numId="25">
    <w:abstractNumId w:val="17"/>
  </w:num>
  <w:num w:numId="26">
    <w:abstractNumId w:val="12"/>
  </w:num>
  <w:num w:numId="27">
    <w:abstractNumId w:val="24"/>
  </w:num>
  <w:num w:numId="28">
    <w:abstractNumId w:val="14"/>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D5"/>
    <w:rsid w:val="000035DA"/>
    <w:rsid w:val="000219E7"/>
    <w:rsid w:val="00027EFF"/>
    <w:rsid w:val="00052B86"/>
    <w:rsid w:val="00053453"/>
    <w:rsid w:val="0005669E"/>
    <w:rsid w:val="000611B5"/>
    <w:rsid w:val="000634D9"/>
    <w:rsid w:val="00067CB9"/>
    <w:rsid w:val="00112AF5"/>
    <w:rsid w:val="00125015"/>
    <w:rsid w:val="00127577"/>
    <w:rsid w:val="00127B8C"/>
    <w:rsid w:val="00131E83"/>
    <w:rsid w:val="001433E9"/>
    <w:rsid w:val="00152A8E"/>
    <w:rsid w:val="001574DB"/>
    <w:rsid w:val="001656F7"/>
    <w:rsid w:val="00171A64"/>
    <w:rsid w:val="001852CF"/>
    <w:rsid w:val="001B52B6"/>
    <w:rsid w:val="001D09C9"/>
    <w:rsid w:val="001D6DE7"/>
    <w:rsid w:val="001E121A"/>
    <w:rsid w:val="001E1BD7"/>
    <w:rsid w:val="001F5D60"/>
    <w:rsid w:val="0024196D"/>
    <w:rsid w:val="00263AD5"/>
    <w:rsid w:val="00271BC2"/>
    <w:rsid w:val="00275023"/>
    <w:rsid w:val="002A29F1"/>
    <w:rsid w:val="002B3E07"/>
    <w:rsid w:val="002F2AE8"/>
    <w:rsid w:val="0031514F"/>
    <w:rsid w:val="003344BC"/>
    <w:rsid w:val="00337851"/>
    <w:rsid w:val="00383807"/>
    <w:rsid w:val="00395189"/>
    <w:rsid w:val="003C6CA4"/>
    <w:rsid w:val="003C6D9B"/>
    <w:rsid w:val="003E22CE"/>
    <w:rsid w:val="003E4655"/>
    <w:rsid w:val="00400823"/>
    <w:rsid w:val="0042078F"/>
    <w:rsid w:val="004229B0"/>
    <w:rsid w:val="00442093"/>
    <w:rsid w:val="00442B54"/>
    <w:rsid w:val="00445A5D"/>
    <w:rsid w:val="00450295"/>
    <w:rsid w:val="00475CCC"/>
    <w:rsid w:val="00480D59"/>
    <w:rsid w:val="0048150E"/>
    <w:rsid w:val="00497FC7"/>
    <w:rsid w:val="004C487D"/>
    <w:rsid w:val="004D1295"/>
    <w:rsid w:val="004E6350"/>
    <w:rsid w:val="00550055"/>
    <w:rsid w:val="00554775"/>
    <w:rsid w:val="005630F8"/>
    <w:rsid w:val="005674AA"/>
    <w:rsid w:val="00595449"/>
    <w:rsid w:val="005C1F81"/>
    <w:rsid w:val="005C7BB8"/>
    <w:rsid w:val="005D3224"/>
    <w:rsid w:val="005F6E35"/>
    <w:rsid w:val="00622CF6"/>
    <w:rsid w:val="00650F4A"/>
    <w:rsid w:val="0066576A"/>
    <w:rsid w:val="00676AA8"/>
    <w:rsid w:val="0069402E"/>
    <w:rsid w:val="006A442B"/>
    <w:rsid w:val="006A4950"/>
    <w:rsid w:val="006B076D"/>
    <w:rsid w:val="006B1B59"/>
    <w:rsid w:val="006B3142"/>
    <w:rsid w:val="006C16A9"/>
    <w:rsid w:val="006C49B1"/>
    <w:rsid w:val="006E3891"/>
    <w:rsid w:val="006F44E7"/>
    <w:rsid w:val="006F752E"/>
    <w:rsid w:val="00701414"/>
    <w:rsid w:val="007217D3"/>
    <w:rsid w:val="00745476"/>
    <w:rsid w:val="00750BFA"/>
    <w:rsid w:val="0075144C"/>
    <w:rsid w:val="00753AD5"/>
    <w:rsid w:val="00790359"/>
    <w:rsid w:val="007C492D"/>
    <w:rsid w:val="008012CF"/>
    <w:rsid w:val="00810113"/>
    <w:rsid w:val="00812970"/>
    <w:rsid w:val="00826F4C"/>
    <w:rsid w:val="00840AA6"/>
    <w:rsid w:val="0084315C"/>
    <w:rsid w:val="00876AAF"/>
    <w:rsid w:val="00890223"/>
    <w:rsid w:val="008953BA"/>
    <w:rsid w:val="008A23F4"/>
    <w:rsid w:val="008D47F4"/>
    <w:rsid w:val="00930C32"/>
    <w:rsid w:val="009350ED"/>
    <w:rsid w:val="00951E76"/>
    <w:rsid w:val="009669F1"/>
    <w:rsid w:val="0097404B"/>
    <w:rsid w:val="009C0994"/>
    <w:rsid w:val="009C664C"/>
    <w:rsid w:val="00A018E9"/>
    <w:rsid w:val="00A01B03"/>
    <w:rsid w:val="00A0440D"/>
    <w:rsid w:val="00A053C4"/>
    <w:rsid w:val="00A062A0"/>
    <w:rsid w:val="00A45B0B"/>
    <w:rsid w:val="00A5336B"/>
    <w:rsid w:val="00A61AD4"/>
    <w:rsid w:val="00A834A1"/>
    <w:rsid w:val="00A96684"/>
    <w:rsid w:val="00AA2BD5"/>
    <w:rsid w:val="00AA7C90"/>
    <w:rsid w:val="00AB3DA3"/>
    <w:rsid w:val="00AB41F9"/>
    <w:rsid w:val="00AF1124"/>
    <w:rsid w:val="00B03114"/>
    <w:rsid w:val="00B5125C"/>
    <w:rsid w:val="00B6692D"/>
    <w:rsid w:val="00BA6AAE"/>
    <w:rsid w:val="00BC46FF"/>
    <w:rsid w:val="00BD59DA"/>
    <w:rsid w:val="00BD7503"/>
    <w:rsid w:val="00C04E4F"/>
    <w:rsid w:val="00C14FD7"/>
    <w:rsid w:val="00C36D47"/>
    <w:rsid w:val="00C43F2F"/>
    <w:rsid w:val="00C54908"/>
    <w:rsid w:val="00C7351F"/>
    <w:rsid w:val="00C75994"/>
    <w:rsid w:val="00CB2583"/>
    <w:rsid w:val="00CD4480"/>
    <w:rsid w:val="00CF165D"/>
    <w:rsid w:val="00CF53B3"/>
    <w:rsid w:val="00D02594"/>
    <w:rsid w:val="00D12B9B"/>
    <w:rsid w:val="00D1751F"/>
    <w:rsid w:val="00D17D79"/>
    <w:rsid w:val="00D570FB"/>
    <w:rsid w:val="00D60286"/>
    <w:rsid w:val="00D7112C"/>
    <w:rsid w:val="00D7746B"/>
    <w:rsid w:val="00D94C43"/>
    <w:rsid w:val="00DA70B6"/>
    <w:rsid w:val="00DC244D"/>
    <w:rsid w:val="00DC27EB"/>
    <w:rsid w:val="00DE7029"/>
    <w:rsid w:val="00E02CAE"/>
    <w:rsid w:val="00E45706"/>
    <w:rsid w:val="00E54FDB"/>
    <w:rsid w:val="00E70211"/>
    <w:rsid w:val="00E7444F"/>
    <w:rsid w:val="00EB56E7"/>
    <w:rsid w:val="00F3346C"/>
    <w:rsid w:val="00F37563"/>
    <w:rsid w:val="00F52B70"/>
    <w:rsid w:val="00F55AD3"/>
    <w:rsid w:val="00F57893"/>
    <w:rsid w:val="00F80F8D"/>
    <w:rsid w:val="00FA5D7C"/>
    <w:rsid w:val="00FC6B51"/>
    <w:rsid w:val="00FE53B6"/>
    <w:rsid w:val="00FF5491"/>
    <w:rsid w:val="06094BB6"/>
    <w:rsid w:val="1BCC711F"/>
    <w:rsid w:val="1DB08073"/>
    <w:rsid w:val="33E0389F"/>
    <w:rsid w:val="34ADE714"/>
    <w:rsid w:val="38682FE7"/>
    <w:rsid w:val="3BE4C798"/>
    <w:rsid w:val="44A48BB3"/>
    <w:rsid w:val="44B50C1D"/>
    <w:rsid w:val="506E94ED"/>
    <w:rsid w:val="52FFD08D"/>
    <w:rsid w:val="5B9DFE9F"/>
    <w:rsid w:val="5C20FE61"/>
    <w:rsid w:val="5F5A79BB"/>
    <w:rsid w:val="64A09207"/>
    <w:rsid w:val="7249572B"/>
    <w:rsid w:val="77027900"/>
    <w:rsid w:val="799DAC4E"/>
    <w:rsid w:val="7CA023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C793F"/>
  <w15:chartTrackingRefBased/>
  <w15:docId w15:val="{99936A52-5E96-4F34-96F6-F3614D8A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7503"/>
    <w:pPr>
      <w:spacing w:before="100" w:beforeAutospacing="1" w:after="100" w:afterAutospacing="1"/>
      <w:ind w:left="0"/>
    </w:pPr>
    <w:rPr>
      <w:rFonts w:ascii="Times New Roman" w:eastAsia="Times New Roman" w:hAnsi="Times New Roman"/>
      <w:color w:val="auto"/>
      <w:sz w:val="24"/>
      <w:szCs w:val="24"/>
    </w:rPr>
  </w:style>
  <w:style w:type="character" w:styleId="Hyperlink">
    <w:name w:val="Hyperlink"/>
    <w:basedOn w:val="DefaultParagraphFont"/>
    <w:uiPriority w:val="99"/>
    <w:unhideWhenUsed/>
    <w:rsid w:val="00930C32"/>
    <w:rPr>
      <w:color w:val="0563C1" w:themeColor="hyperlink"/>
      <w:u w:val="single"/>
    </w:rPr>
  </w:style>
  <w:style w:type="character" w:customStyle="1" w:styleId="UnresolvedMention1">
    <w:name w:val="Unresolved Mention1"/>
    <w:basedOn w:val="DefaultParagraphFont"/>
    <w:uiPriority w:val="99"/>
    <w:semiHidden/>
    <w:unhideWhenUsed/>
    <w:rsid w:val="0093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57813">
      <w:bodyDiv w:val="1"/>
      <w:marLeft w:val="0"/>
      <w:marRight w:val="0"/>
      <w:marTop w:val="0"/>
      <w:marBottom w:val="0"/>
      <w:divBdr>
        <w:top w:val="none" w:sz="0" w:space="0" w:color="auto"/>
        <w:left w:val="none" w:sz="0" w:space="0" w:color="auto"/>
        <w:bottom w:val="none" w:sz="0" w:space="0" w:color="auto"/>
        <w:right w:val="none" w:sz="0" w:space="0" w:color="auto"/>
      </w:divBdr>
    </w:div>
    <w:div w:id="13838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iii-itlc.s3.amazonaws.com/LibGuides/LibGuides+Articles+and+Docs/Sierra/Acquisitions/Videos/QHW_Sierra-Acq_Rev_1920x1080.mp4" TargetMode="External"/><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yperlink" Target="https://iii-itlc.s3.amazonaws.com/LibGuides/LibGuides+Articles+and+Docs/Sierra/Acquisitions/Articles/ACQ+Sierra+HTG+Resolving+funds+out+of+balance+20220301.pdf"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hyperlink" Target="https://iii-itlc.s3.amazonaws.com/LibGuides/LibGuides+Articles+and+Docs/Sierra/Acquisitions/Articles/ACQ+Fiscal+Close+Summary+20220301.pdf"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m\Desktop\Doc%20Review%20Project\How%20To%20Guide%20Template%20Revised%202020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Patrick Chu</Reviewer>
    <PolarisRls_x002e_ xmlns="84897453-ac73-4533-b7cc-f8120215243c" xsi:nil="true"/>
    <ITLCPublicURL xmlns="84897453-ac73-4533-b7cc-f8120215243c">
      <Url xsi:nil="true"/>
      <Description xsi:nil="true"/>
    </ITLCPublicURL>
    <MediaLengthInSeconds xmlns="84897453-ac73-4533-b7cc-f8120215243c" xsi:nil="true"/>
    <PostedonPublicITLC xmlns="49821263-dd12-457a-8a0b-485e0645d95a">true</PostedonPublicITLC>
    <_ip_UnifiedCompliancePolicyUIAction xmlns="http://schemas.microsoft.com/sharepoint/v3" xsi:nil="true"/>
    <_ip_UnifiedCompliancePolicyProperties xmlns="http://schemas.microsoft.com/sharepoint/v3" xsi:nil="true"/>
    <HyperlinkWord xmlns="109f4b00-fd81-49e5-ab43-de200dcdabd9">false</HyperlinkWord>
    <PDFfinal xmlns="109f4b00-fd81-49e5-ab43-de200dcdabd9">false</PDFfinal>
    <_x0050_DF1 xmlns="109f4b00-fd81-49e5-ab43-de200dcdabd9">true</_x0050_DF1>
  </documentManagement>
</p:properties>
</file>

<file path=customXml/itemProps1.xml><?xml version="1.0" encoding="utf-8"?>
<ds:datastoreItem xmlns:ds="http://schemas.openxmlformats.org/officeDocument/2006/customXml" ds:itemID="{9522B5BA-DDF6-495A-BD88-D2E791CAA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6075B-9B18-48D5-AECB-1725A7B7E2D2}">
  <ds:schemaRefs>
    <ds:schemaRef ds:uri="http://schemas.microsoft.com/sharepoint/v3/contenttype/forms"/>
  </ds:schemaRefs>
</ds:datastoreItem>
</file>

<file path=customXml/itemProps3.xml><?xml version="1.0" encoding="utf-8"?>
<ds:datastoreItem xmlns:ds="http://schemas.openxmlformats.org/officeDocument/2006/customXml" ds:itemID="{78C343C5-2B60-4457-AC99-56995A176C0F}">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docProps/app.xml><?xml version="1.0" encoding="utf-8"?>
<Properties xmlns="http://schemas.openxmlformats.org/officeDocument/2006/extended-properties" xmlns:vt="http://schemas.openxmlformats.org/officeDocument/2006/docPropsVTypes">
  <Template>How To Guide Template Revised 20200720</Template>
  <TotalTime>12</TotalTime>
  <Pages>9</Pages>
  <Words>2139</Words>
  <Characters>12193</Characters>
  <Application>Microsoft Office Word</Application>
  <DocSecurity>0</DocSecurity>
  <Lines>101</Lines>
  <Paragraphs>28</Paragraphs>
  <ScaleCrop>false</ScaleCrop>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Closing - Method Two</dc:title>
  <dc:subject/>
  <dc:creator>Michael McClellan</dc:creator>
  <cp:keywords>fiscal close</cp:keywords>
  <dc:description/>
  <cp:lastModifiedBy>Schlomit Schwarzer</cp:lastModifiedBy>
  <cp:revision>18</cp:revision>
  <dcterms:created xsi:type="dcterms:W3CDTF">2020-08-18T14:20:00Z</dcterms:created>
  <dcterms:modified xsi:type="dcterms:W3CDTF">2022-04-07T20:34:00Z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31600</vt:r8>
  </property>
  <property fmtid="{D5CDD505-2E9C-101B-9397-08002B2CF9AE}" pid="4" name="xd_Signature">
    <vt:bool>false</vt:bool>
  </property>
  <property fmtid="{D5CDD505-2E9C-101B-9397-08002B2CF9AE}" pid="5" name="xd_ProgID">
    <vt:lpwstr/>
  </property>
  <property fmtid="{D5CDD505-2E9C-101B-9397-08002B2CF9AE}" pid="6" name="Reviewer">
    <vt:lpwstr>Patrick Chu</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d6469c58-e2e3-4f21-8b05-615946b901fc</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TriggerFlowInfo">
    <vt:lpwstr/>
  </property>
</Properties>
</file>